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b/>
          <w:bCs/>
          <w:sz w:val="44"/>
          <w:szCs w:val="44"/>
        </w:rPr>
      </w:pPr>
      <w:r>
        <w:rPr>
          <w:rFonts w:hint="eastAsia" w:cs="宋体"/>
          <w:b/>
          <w:bCs/>
          <w:sz w:val="44"/>
          <w:szCs w:val="44"/>
        </w:rPr>
        <w:t>重庆大江杰信锻造有限公司设备改造项目</w:t>
      </w:r>
    </w:p>
    <w:p>
      <w:pPr>
        <w:spacing w:line="360" w:lineRule="auto"/>
        <w:jc w:val="center"/>
        <w:rPr>
          <w:rFonts w:cs="宋体"/>
          <w:b/>
          <w:bCs/>
          <w:sz w:val="44"/>
          <w:szCs w:val="44"/>
        </w:rPr>
      </w:pPr>
      <w:r>
        <w:rPr>
          <w:rFonts w:hint="eastAsia" w:cs="宋体"/>
          <w:b/>
          <w:bCs/>
          <w:sz w:val="44"/>
          <w:szCs w:val="44"/>
        </w:rPr>
        <w:t>比价定源邀请书</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ascii="仿宋" w:hAnsi="仿宋" w:eastAsia="仿宋" w:cs="仿宋"/>
          <w:sz w:val="32"/>
          <w:szCs w:val="32"/>
          <w:u w:val="single"/>
        </w:rPr>
        <w:t>801B跨6300T中频炉上料机改造项目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eastAsia="仿宋" w:cs="宋体"/>
          <w:bCs/>
          <w:sz w:val="32"/>
          <w:szCs w:val="32"/>
          <w:u w:val="single"/>
        </w:rPr>
        <w:t>801B跨6300T中频炉上料机改造项目</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0" w:name="xm_address"/>
      <w:bookmarkEnd w:id="0"/>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w:t>
      </w:r>
      <w:r>
        <w:rPr>
          <w:rFonts w:hint="eastAsia" w:ascii="仿宋" w:hAnsi="仿宋" w:eastAsia="仿宋" w:cs="仿宋"/>
          <w:sz w:val="32"/>
          <w:szCs w:val="32"/>
          <w:u w:val="single"/>
        </w:rPr>
        <w:t>801B跨6300T中频炉上料机改造项目</w:t>
      </w:r>
      <w:r>
        <w:rPr>
          <w:rFonts w:hint="eastAsia" w:ascii="仿宋" w:hAnsi="仿宋" w:eastAsia="仿宋" w:cs="仿宋"/>
          <w:sz w:val="32"/>
          <w:szCs w:val="32"/>
        </w:rPr>
        <w:t>要求”</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2、报价方实力（产品商标必须附证书）、信誉以及相关业绩证明（国内近3年同类及以上档次的产品修理业绩证明，如包括用户单位名称、项目名称、负责人姓名、联系电话的合同等。）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技术文件中的各项要求作出详尽的整体应答，各维修项的分项报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b/>
          <w:bCs/>
          <w:sz w:val="44"/>
          <w:szCs w:val="44"/>
        </w:rPr>
        <w:t>本项目的安装调试时间为2022年1月31日----2022年2月1日</w:t>
      </w:r>
      <w:r>
        <w:rPr>
          <w:rFonts w:ascii="仿宋" w:hAnsi="仿宋" w:eastAsia="仿宋" w:cs="仿宋"/>
          <w:b/>
          <w:bCs/>
          <w:sz w:val="44"/>
          <w:szCs w:val="44"/>
        </w:rPr>
        <w:t>,</w:t>
      </w:r>
      <w:r>
        <w:rPr>
          <w:rFonts w:hint="eastAsia" w:ascii="仿宋" w:hAnsi="仿宋" w:eastAsia="仿宋" w:cs="仿宋"/>
          <w:sz w:val="32"/>
          <w:szCs w:val="32"/>
        </w:rPr>
        <w:t>报价方应保证在要求或约定的时间进度完成，如完成进度上有异议，请说明原因。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报价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（五）要求报价方在报价文件中注明所报价的维修项目与邀请文件中规定技术指标的正负偏离表。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1" w:name="Zws1"/>
      <w:bookmarkEnd w:id="1"/>
      <w:r>
        <w:rPr>
          <w:rFonts w:hint="eastAsia" w:ascii="仿宋" w:hAnsi="仿宋" w:eastAsia="仿宋" w:cs="仿宋"/>
          <w:sz w:val="32"/>
          <w:szCs w:val="32"/>
        </w:rPr>
        <w:t>1份报价文件“正本”和</w:t>
      </w:r>
      <w:bookmarkStart w:id="2" w:name="fws1"/>
      <w:bookmarkEnd w:id="2"/>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3" w:name="tbwjsl"/>
      <w:bookmarkEnd w:id="3"/>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时，应在2021年12月17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 郭先生</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联系电话：13983600648</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2021年12月17日前到重庆大江杰信锻造有限公司采购部领取报价文件及相关资料。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3、报价为含税价（含13%税）；报价包括维修费、包装费、装卸费、拆卸费和运输费等；报价方须按我公司的要求正确填报，需备注事宜可填入表内“备注”栏，检查确认后，加盖公章。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并在信封上注明“报价表，请于比价定源时启封”字样。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2021</w:t>
      </w:r>
      <w:r>
        <w:rPr>
          <w:rFonts w:hint="eastAsia" w:ascii="仿宋" w:hAnsi="仿宋" w:eastAsia="仿宋" w:cs="仿宋"/>
          <w:sz w:val="32"/>
          <w:szCs w:val="32"/>
        </w:rPr>
        <w:t>年</w:t>
      </w:r>
      <w:r>
        <w:rPr>
          <w:rFonts w:hint="eastAsia" w:ascii="仿宋" w:hAnsi="仿宋" w:eastAsia="仿宋" w:cs="仿宋"/>
          <w:sz w:val="32"/>
          <w:szCs w:val="32"/>
          <w:u w:val="single"/>
        </w:rPr>
        <w:t xml:space="preserve"> 12 </w:t>
      </w:r>
      <w:r>
        <w:rPr>
          <w:rFonts w:hint="eastAsia" w:ascii="仿宋" w:hAnsi="仿宋" w:eastAsia="仿宋" w:cs="仿宋"/>
          <w:sz w:val="32"/>
          <w:szCs w:val="32"/>
        </w:rPr>
        <w:t xml:space="preserve">月 </w:t>
      </w:r>
      <w:r>
        <w:rPr>
          <w:rFonts w:hint="eastAsia" w:ascii="仿宋" w:hAnsi="仿宋" w:eastAsia="仿宋" w:cs="仿宋"/>
          <w:sz w:val="32"/>
          <w:szCs w:val="32"/>
          <w:u w:val="single"/>
        </w:rPr>
        <w:t>17</w:t>
      </w:r>
      <w:r>
        <w:rPr>
          <w:rFonts w:hint="eastAsia" w:ascii="仿宋" w:hAnsi="仿宋" w:eastAsia="仿宋" w:cs="仿宋"/>
          <w:sz w:val="32"/>
          <w:szCs w:val="32"/>
        </w:rPr>
        <w:t>日。</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重庆大江杰信锻造有限公司采购部。</w:t>
      </w:r>
    </w:p>
    <w:p>
      <w:pPr>
        <w:ind w:left="800" w:hanging="800" w:hangingChars="250"/>
        <w:outlineLvl w:val="0"/>
        <w:rPr>
          <w:rFonts w:ascii="仿宋" w:hAnsi="仿宋" w:eastAsia="仿宋"/>
          <w:sz w:val="32"/>
          <w:szCs w:val="32"/>
          <w:u w:val="single"/>
        </w:rPr>
      </w:pPr>
      <w:r>
        <w:rPr>
          <w:rFonts w:hint="eastAsia" w:ascii="仿宋" w:hAnsi="仿宋" w:eastAsia="仿宋"/>
          <w:sz w:val="32"/>
          <w:szCs w:val="32"/>
        </w:rPr>
        <w:t xml:space="preserve"> 收件人：</w:t>
      </w:r>
      <w:r>
        <w:rPr>
          <w:rFonts w:hint="eastAsia" w:ascii="仿宋" w:hAnsi="仿宋" w:eastAsia="仿宋"/>
          <w:sz w:val="32"/>
          <w:szCs w:val="32"/>
          <w:u w:val="single"/>
        </w:rPr>
        <w:t xml:space="preserve">  赵女士      、   郭先生     </w:t>
      </w:r>
    </w:p>
    <w:p>
      <w:pPr>
        <w:ind w:left="800" w:hanging="800" w:hangingChars="250"/>
        <w:outlineLvl w:val="0"/>
        <w:rPr>
          <w:rFonts w:ascii="仿宋" w:hAnsi="仿宋" w:eastAsia="仿宋"/>
          <w:sz w:val="32"/>
          <w:szCs w:val="32"/>
          <w:highlight w:val="green"/>
          <w:u w:val="single"/>
        </w:rPr>
      </w:pPr>
      <w:r>
        <w:rPr>
          <w:rFonts w:hint="eastAsia" w:ascii="仿宋" w:hAnsi="仿宋" w:eastAsia="仿宋"/>
          <w:sz w:val="32"/>
          <w:szCs w:val="32"/>
        </w:rPr>
        <w:t xml:space="preserve">  联系电话</w:t>
      </w:r>
      <w:r>
        <w:rPr>
          <w:rFonts w:hint="eastAsia" w:ascii="仿宋" w:hAnsi="仿宋" w:eastAsia="仿宋"/>
          <w:sz w:val="32"/>
          <w:szCs w:val="32"/>
          <w:u w:val="single"/>
        </w:rPr>
        <w:t>：13883058850 、   13983600648</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639" w:leftChars="152" w:hanging="320" w:hangingChars="100"/>
        <w:rPr>
          <w:rFonts w:ascii="仿宋" w:hAnsi="仿宋" w:eastAsia="仿宋" w:cs="仿宋"/>
          <w:sz w:val="32"/>
          <w:szCs w:val="32"/>
        </w:rPr>
      </w:pPr>
      <w:r>
        <w:rPr>
          <w:rFonts w:hint="eastAsia" w:ascii="仿宋" w:hAnsi="仿宋" w:eastAsia="仿宋" w:cs="仿宋"/>
          <w:sz w:val="32"/>
          <w:szCs w:val="32"/>
        </w:rPr>
        <w:t xml:space="preserve">（2）本项目参选保证金1万元，可由现款或应付账款组成，比价定源活动结束后，如报价方未成为合作方，我公司即刻将参选保证金现款部分全额无息退还报价方（应付账款则退回应付账上）。请报价方按时将参选保证金存入我公司以下指定账户： </w:t>
      </w:r>
    </w:p>
    <w:p>
      <w:pPr>
        <w:ind w:left="630" w:leftChars="300" w:firstLine="160" w:firstLineChars="50"/>
        <w:rPr>
          <w:rFonts w:ascii="仿宋" w:hAnsi="仿宋" w:eastAsia="仿宋" w:cs="仿宋"/>
          <w:sz w:val="32"/>
          <w:szCs w:val="32"/>
        </w:rPr>
      </w:pPr>
      <w:r>
        <w:rPr>
          <w:rFonts w:hint="eastAsia" w:ascii="仿宋" w:hAnsi="仿宋" w:eastAsia="仿宋" w:cs="仿宋"/>
          <w:sz w:val="32"/>
          <w:szCs w:val="32"/>
        </w:rPr>
        <w:t xml:space="preserve">   单位名称：</w:t>
      </w:r>
      <w:r>
        <w:rPr>
          <w:rFonts w:hint="eastAsia" w:ascii="仿宋" w:hAnsi="仿宋" w:eastAsia="仿宋" w:cs="仿宋"/>
          <w:sz w:val="32"/>
          <w:szCs w:val="32"/>
          <w:u w:val="single"/>
        </w:rPr>
        <w:t>重庆大江杰信锻造有限公司</w:t>
      </w:r>
    </w:p>
    <w:p>
      <w:pPr>
        <w:ind w:left="630" w:leftChars="300" w:firstLine="160" w:firstLineChars="50"/>
        <w:rPr>
          <w:rFonts w:ascii="仿宋" w:hAnsi="仿宋" w:eastAsia="仿宋" w:cs="仿宋"/>
          <w:sz w:val="32"/>
          <w:szCs w:val="32"/>
        </w:rPr>
      </w:pPr>
      <w:r>
        <w:rPr>
          <w:rFonts w:hint="eastAsia" w:ascii="仿宋" w:hAnsi="仿宋" w:eastAsia="仿宋" w:cs="仿宋"/>
          <w:sz w:val="32"/>
          <w:szCs w:val="32"/>
        </w:rPr>
        <w:t xml:space="preserve">   开户行：</w:t>
      </w:r>
      <w:r>
        <w:rPr>
          <w:rFonts w:hint="eastAsia" w:ascii="仿宋" w:hAnsi="仿宋" w:eastAsia="仿宋" w:cs="仿宋"/>
          <w:sz w:val="32"/>
          <w:szCs w:val="32"/>
          <w:u w:val="single"/>
        </w:rPr>
        <w:t>中国建设银行重庆巴南大江支行</w:t>
      </w:r>
    </w:p>
    <w:p>
      <w:pPr>
        <w:ind w:left="630" w:leftChars="300" w:firstLine="160" w:firstLineChars="50"/>
        <w:rPr>
          <w:rFonts w:ascii="仿宋" w:hAnsi="仿宋" w:eastAsia="仿宋" w:cs="仿宋"/>
          <w:sz w:val="32"/>
          <w:szCs w:val="32"/>
        </w:rPr>
      </w:pPr>
      <w:r>
        <w:rPr>
          <w:rFonts w:hint="eastAsia" w:ascii="仿宋" w:hAnsi="仿宋" w:eastAsia="仿宋" w:cs="仿宋"/>
          <w:sz w:val="32"/>
          <w:szCs w:val="32"/>
        </w:rPr>
        <w:t xml:space="preserve">   银行账号：50001110041052500415</w:t>
      </w:r>
    </w:p>
    <w:p>
      <w:pPr>
        <w:ind w:left="958" w:leftChars="456"/>
        <w:rPr>
          <w:rFonts w:ascii="仿宋" w:hAnsi="仿宋" w:eastAsia="仿宋" w:cs="仿宋"/>
          <w:sz w:val="32"/>
          <w:szCs w:val="32"/>
        </w:rPr>
      </w:pPr>
      <w:r>
        <w:rPr>
          <w:rFonts w:hint="eastAsia" w:ascii="仿宋" w:hAnsi="仿宋" w:eastAsia="仿宋" w:cs="仿宋"/>
          <w:sz w:val="32"/>
          <w:szCs w:val="32"/>
        </w:rPr>
        <w:t>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4" w:name="finishtime"/>
      <w:bookmarkEnd w:id="4"/>
      <w:r>
        <w:rPr>
          <w:rFonts w:hint="eastAsia" w:ascii="仿宋" w:hAnsi="仿宋" w:eastAsia="仿宋" w:cs="仿宋"/>
          <w:b/>
          <w:bCs/>
          <w:sz w:val="44"/>
          <w:szCs w:val="44"/>
        </w:rPr>
        <w:t>本项目的安装调试时间为2022年1月31日--2022年2月1日，交货时间由报价方按最短交货期报，合同生效后严格按交货期和安装调试时间执行，每延期处以18000.00元/天的违约金。</w:t>
      </w:r>
      <w:r>
        <w:rPr>
          <w:rFonts w:hint="eastAsia" w:ascii="仿宋" w:hAnsi="仿宋" w:eastAsia="仿宋" w:cs="仿宋"/>
          <w:sz w:val="32"/>
          <w:szCs w:val="32"/>
        </w:rPr>
        <w:t>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5" w:name="jhfs"/>
      <w:bookmarkEnd w:id="5"/>
      <w:r>
        <w:rPr>
          <w:rFonts w:hint="eastAsia" w:ascii="仿宋" w:hAnsi="仿宋" w:eastAsia="仿宋" w:cs="仿宋"/>
          <w:sz w:val="32"/>
          <w:szCs w:val="32"/>
        </w:rPr>
        <w:t>由维修方负责。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（三）设备安装调试：设备到场后待管线接通完毕后维修方现场负责安装调试。在设备管线接通完毕后当天内完成调试并交付我公司投产使用。</w:t>
      </w:r>
    </w:p>
    <w:p>
      <w:pPr>
        <w:ind w:left="960" w:hanging="960" w:hangingChars="300"/>
        <w:outlineLvl w:val="0"/>
        <w:rPr>
          <w:rFonts w:ascii="仿宋" w:hAnsi="仿宋" w:eastAsia="仿宋" w:cs="仿宋"/>
          <w:sz w:val="32"/>
          <w:szCs w:val="32"/>
          <w:highlight w:val="yellow"/>
        </w:rPr>
      </w:pPr>
      <w:r>
        <w:rPr>
          <w:rFonts w:hint="eastAsia" w:ascii="仿宋" w:hAnsi="仿宋" w:eastAsia="仿宋" w:cs="仿宋"/>
          <w:sz w:val="32"/>
          <w:szCs w:val="32"/>
        </w:rPr>
        <w:t>（四）合同签订2个工作日内，维修方负责提供改造设备安装基础图，动力负荷要求及管线布置图等，便于我公司提前完成改造设备的前期准备工作。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6" w:name="fkfs"/>
      <w:bookmarkEnd w:id="6"/>
      <w:r>
        <w:rPr>
          <w:rFonts w:hint="eastAsia" w:ascii="仿宋" w:hAnsi="仿宋" w:eastAsia="仿宋" w:cs="仿宋"/>
          <w:sz w:val="32"/>
          <w:szCs w:val="32"/>
        </w:rPr>
        <w:t>（五）本项目付款方式为项目完成后，验收合格后全额开具发票挂账，次月以银行承兑支付90%，质保金10%一年后支付。</w:t>
      </w:r>
    </w:p>
    <w:p>
      <w:pPr>
        <w:rPr>
          <w:rFonts w:ascii="仿宋" w:hAnsi="仿宋" w:eastAsia="仿宋" w:cs="仿宋"/>
          <w:b/>
          <w:bCs/>
          <w:sz w:val="32"/>
          <w:szCs w:val="32"/>
        </w:rPr>
      </w:pPr>
      <w:bookmarkStart w:id="7" w:name="yzf"/>
      <w:bookmarkEnd w:id="7"/>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设备维修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维修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维修项目比价定源评分表》中第7项（价格评分项目）要求对第三次（电话免提）竞价进行评分。然后将此评分与第二次竞分报价的《设备维修项目比价定源评分表》中前6项评分累加，得出的最高分所对应的报价为最优合作价，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将其第二次竞分报价信息中价格调整为最优合作价后签约；如第二顺序合作方放弃签约，则由第三顺序合作方将其第二次竞分报价信息中价格调整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8" w:name="current_time1"/>
      <w:bookmarkEnd w:id="8"/>
      <w:r>
        <w:rPr>
          <w:rFonts w:hint="eastAsia" w:ascii="仿宋" w:hAnsi="仿宋" w:eastAsia="仿宋"/>
          <w:sz w:val="32"/>
          <w:szCs w:val="32"/>
        </w:rPr>
        <w:t>2021年12月13日</w:t>
      </w:r>
    </w:p>
    <w:p>
      <w:pPr>
        <w:rPr>
          <w:rFonts w:ascii="宋体" w:hAnsi="宋体" w:cs="宋体"/>
          <w:bCs/>
          <w:sz w:val="44"/>
          <w:szCs w:val="44"/>
        </w:rPr>
      </w:pPr>
      <w:bookmarkStart w:id="9" w:name="equ_name"/>
      <w:bookmarkEnd w:id="9"/>
    </w:p>
    <w:p>
      <w:pPr>
        <w:ind w:firstLine="3360" w:firstLineChars="700"/>
        <w:rPr>
          <w:rFonts w:ascii="黑体" w:hAnsi="黑体" w:eastAsia="黑体" w:cs="黑体"/>
          <w:sz w:val="48"/>
          <w:szCs w:val="48"/>
        </w:rPr>
      </w:pPr>
    </w:p>
    <w:p>
      <w:pPr>
        <w:ind w:firstLine="3360" w:firstLineChars="700"/>
        <w:rPr>
          <w:rFonts w:ascii="黑体" w:hAnsi="黑体" w:eastAsia="黑体" w:cs="黑体"/>
          <w:sz w:val="48"/>
          <w:szCs w:val="48"/>
        </w:rPr>
      </w:pPr>
    </w:p>
    <w:p>
      <w:pPr>
        <w:ind w:firstLine="3092" w:firstLineChars="700"/>
        <w:rPr>
          <w:rFonts w:ascii="宋体" w:hAnsi="宋体" w:cs="宋体"/>
          <w:b/>
          <w:bCs/>
          <w:sz w:val="44"/>
          <w:szCs w:val="44"/>
        </w:rPr>
      </w:pPr>
    </w:p>
    <w:p>
      <w:pPr>
        <w:spacing w:line="500" w:lineRule="exact"/>
        <w:jc w:val="left"/>
        <w:rPr>
          <w:bCs/>
          <w:sz w:val="28"/>
          <w:szCs w:val="28"/>
        </w:rPr>
      </w:pPr>
      <w:r>
        <w:rPr>
          <w:rFonts w:hint="eastAsia"/>
          <w:bCs/>
          <w:sz w:val="28"/>
          <w:szCs w:val="28"/>
        </w:rPr>
        <w:t>报价函附件1</w:t>
      </w:r>
    </w:p>
    <w:p>
      <w:pPr>
        <w:spacing w:line="360" w:lineRule="auto"/>
        <w:jc w:val="center"/>
        <w:rPr>
          <w:rFonts w:ascii="宋体" w:hAnsi="宋体"/>
          <w:b/>
          <w:sz w:val="44"/>
          <w:szCs w:val="44"/>
        </w:rPr>
      </w:pPr>
      <w:r>
        <w:rPr>
          <w:rFonts w:hint="eastAsia" w:ascii="宋体" w:hAnsi="宋体"/>
          <w:b/>
          <w:sz w:val="44"/>
          <w:szCs w:val="44"/>
        </w:rPr>
        <w:t>801B跨6300T中频炉上料机改造技术要求</w:t>
      </w:r>
    </w:p>
    <w:p>
      <w:pPr>
        <w:spacing w:line="360" w:lineRule="auto"/>
        <w:ind w:firstLine="422" w:firstLineChars="200"/>
        <w:rPr>
          <w:rFonts w:ascii="宋体" w:hAnsi="宋体"/>
          <w:bCs/>
          <w:szCs w:val="24"/>
        </w:rPr>
      </w:pPr>
      <w:r>
        <w:rPr>
          <w:rFonts w:hint="eastAsia" w:ascii="宋体" w:hAnsi="宋体"/>
          <w:b/>
        </w:rPr>
        <w:t>1.项目名称：</w:t>
      </w:r>
      <w:r>
        <w:rPr>
          <w:rFonts w:hint="eastAsia" w:ascii="宋体" w:hAnsi="宋体"/>
          <w:bCs/>
          <w:szCs w:val="24"/>
        </w:rPr>
        <w:t>6300T中频炉上料机改造</w:t>
      </w:r>
    </w:p>
    <w:p>
      <w:pPr>
        <w:spacing w:line="360" w:lineRule="auto"/>
        <w:ind w:firstLine="422" w:firstLineChars="200"/>
        <w:rPr>
          <w:rFonts w:ascii="宋体" w:hAnsi="宋体"/>
        </w:rPr>
      </w:pPr>
      <w:r>
        <w:rPr>
          <w:rFonts w:hint="eastAsia" w:ascii="宋体" w:hAnsi="宋体"/>
          <w:b/>
        </w:rPr>
        <w:t>2.数量：</w:t>
      </w:r>
      <w:r>
        <w:rPr>
          <w:rFonts w:hint="eastAsia" w:ascii="宋体" w:hAnsi="宋体"/>
        </w:rPr>
        <w:t xml:space="preserve">1套   </w:t>
      </w:r>
    </w:p>
    <w:p>
      <w:pPr>
        <w:spacing w:line="360" w:lineRule="auto"/>
        <w:ind w:firstLine="422" w:firstLineChars="200"/>
        <w:rPr>
          <w:rFonts w:ascii="宋体" w:hAnsi="宋体"/>
          <w:b/>
        </w:rPr>
      </w:pPr>
      <w:r>
        <w:rPr>
          <w:rFonts w:hint="eastAsia" w:ascii="宋体" w:hAnsi="宋体"/>
          <w:b/>
        </w:rPr>
        <w:t>3.项目描述</w:t>
      </w:r>
    </w:p>
    <w:p>
      <w:pPr>
        <w:spacing w:line="360" w:lineRule="auto"/>
        <w:ind w:firstLine="420" w:firstLineChars="200"/>
        <w:rPr>
          <w:rFonts w:ascii="宋体" w:hAnsi="宋体"/>
        </w:rPr>
      </w:pPr>
      <w:r>
        <w:rPr>
          <w:rFonts w:hint="eastAsia" w:ascii="宋体" w:hAnsi="宋体"/>
        </w:rPr>
        <w:t>原6300T中频加热炉由1250KW+500KW组成，上料机构采用人工上料方式，通过本次改造将人工上料方式改为全自动上料方式，操作人员只需要将装有料的料框放在上料机上，剩下的工作由自动上料机构来完成所有的上料动作。</w:t>
      </w:r>
    </w:p>
    <w:p>
      <w:pPr>
        <w:tabs>
          <w:tab w:val="left" w:pos="360"/>
        </w:tabs>
        <w:spacing w:line="360" w:lineRule="auto"/>
        <w:ind w:firstLine="422" w:firstLineChars="200"/>
        <w:rPr>
          <w:rFonts w:ascii="宋体" w:hAnsi="宋体"/>
          <w:b/>
        </w:rPr>
      </w:pPr>
      <w:r>
        <w:rPr>
          <w:rFonts w:hint="eastAsia" w:ascii="宋体" w:hAnsi="宋体"/>
          <w:b/>
        </w:rPr>
        <w:t>4. 项目主要工艺参数及技术要求：</w:t>
      </w:r>
    </w:p>
    <w:p>
      <w:pPr>
        <w:spacing w:line="360" w:lineRule="auto"/>
        <w:ind w:firstLine="420" w:firstLineChars="200"/>
        <w:rPr>
          <w:rFonts w:ascii="宋体" w:hAnsi="宋体"/>
        </w:rPr>
      </w:pPr>
      <w:r>
        <w:rPr>
          <w:rFonts w:hint="eastAsia" w:ascii="宋体" w:hAnsi="宋体"/>
        </w:rPr>
        <w:t>4.1.输送材料材质：合金结构钢、非调质钢。</w:t>
      </w:r>
    </w:p>
    <w:tbl>
      <w:tblPr>
        <w:tblStyle w:val="18"/>
        <w:tblW w:w="82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6"/>
        <w:gridCol w:w="1553"/>
        <w:gridCol w:w="1486"/>
        <w:gridCol w:w="1707"/>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center"/>
              <w:rPr>
                <w:rFonts w:ascii="宋体" w:hAnsi="宋体"/>
                <w:szCs w:val="24"/>
              </w:rPr>
            </w:pPr>
            <w:r>
              <w:rPr>
                <w:rFonts w:hint="eastAsia" w:ascii="宋体" w:hAnsi="宋体"/>
                <w:szCs w:val="24"/>
              </w:rPr>
              <w:t>钢材品号</w:t>
            </w:r>
          </w:p>
        </w:tc>
        <w:tc>
          <w:tcPr>
            <w:tcW w:w="1553" w:type="dxa"/>
            <w:vAlign w:val="center"/>
          </w:tcPr>
          <w:p>
            <w:pPr>
              <w:jc w:val="center"/>
              <w:rPr>
                <w:rFonts w:ascii="宋体" w:hAnsi="宋体"/>
                <w:szCs w:val="24"/>
              </w:rPr>
            </w:pPr>
            <w:r>
              <w:rPr>
                <w:rFonts w:hint="eastAsia" w:ascii="宋体" w:hAnsi="宋体"/>
                <w:szCs w:val="24"/>
              </w:rPr>
              <w:t>规格(</w:t>
            </w:r>
            <w:r>
              <w:rPr>
                <w:rFonts w:hint="eastAsia" w:ascii="宋体" w:hAnsi="宋体"/>
              </w:rPr>
              <w:t>mm)</w:t>
            </w:r>
          </w:p>
        </w:tc>
        <w:tc>
          <w:tcPr>
            <w:tcW w:w="1486" w:type="dxa"/>
            <w:vAlign w:val="center"/>
          </w:tcPr>
          <w:p>
            <w:pPr>
              <w:jc w:val="center"/>
              <w:rPr>
                <w:rFonts w:ascii="宋体" w:hAnsi="宋体"/>
                <w:szCs w:val="24"/>
              </w:rPr>
            </w:pPr>
            <w:r>
              <w:rPr>
                <w:rFonts w:hint="eastAsia" w:ascii="宋体" w:hAnsi="宋体"/>
              </w:rPr>
              <w:t>长度(mm)</w:t>
            </w:r>
          </w:p>
        </w:tc>
        <w:tc>
          <w:tcPr>
            <w:tcW w:w="1707" w:type="dxa"/>
          </w:tcPr>
          <w:p>
            <w:pPr>
              <w:spacing w:line="480" w:lineRule="exact"/>
              <w:rPr>
                <w:rFonts w:ascii="宋体" w:hAnsi="宋体"/>
              </w:rPr>
            </w:pPr>
            <w:r>
              <w:rPr>
                <w:rFonts w:hint="eastAsia" w:ascii="宋体" w:hAnsi="宋体"/>
              </w:rPr>
              <w:t>生产节拍（S)</w:t>
            </w:r>
          </w:p>
        </w:tc>
        <w:tc>
          <w:tcPr>
            <w:tcW w:w="1761" w:type="dxa"/>
          </w:tcPr>
          <w:p>
            <w:pPr>
              <w:spacing w:line="480" w:lineRule="exact"/>
              <w:jc w:val="center"/>
              <w:rPr>
                <w:rFonts w:ascii="宋体" w:hAnsi="宋体"/>
              </w:rPr>
            </w:pPr>
            <w:r>
              <w:rPr>
                <w:rFonts w:hint="eastAsia" w:ascii="宋体" w:hAnsi="宋体"/>
              </w:rPr>
              <w:t>传输材料温度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42CrMoA</w:t>
            </w:r>
          </w:p>
        </w:tc>
        <w:tc>
          <w:tcPr>
            <w:tcW w:w="1553" w:type="dxa"/>
            <w:vAlign w:val="center"/>
          </w:tcPr>
          <w:p>
            <w:pPr>
              <w:jc w:val="left"/>
              <w:rPr>
                <w:rFonts w:ascii="宋体" w:hAnsi="宋体"/>
                <w:szCs w:val="24"/>
              </w:rPr>
            </w:pPr>
            <w:r>
              <w:rPr>
                <w:rFonts w:hint="eastAsia" w:ascii="宋体" w:hAnsi="宋体"/>
                <w:szCs w:val="24"/>
              </w:rPr>
              <w:t>Φ8</w:t>
            </w:r>
            <w:r>
              <w:rPr>
                <w:rFonts w:hint="eastAsia" w:ascii="宋体" w:hAnsi="宋体"/>
                <w:szCs w:val="24"/>
                <w:lang w:val="en-US" w:eastAsia="zh-CN"/>
              </w:rPr>
              <w:t>0</w:t>
            </w:r>
            <w:bookmarkStart w:id="13" w:name="_GoBack"/>
            <w:bookmarkEnd w:id="13"/>
            <w:r>
              <w:rPr>
                <w:rFonts w:hint="eastAsia" w:ascii="宋体" w:hAnsi="宋体"/>
                <w:szCs w:val="24"/>
              </w:rPr>
              <w:t>-125</w:t>
            </w:r>
          </w:p>
        </w:tc>
        <w:tc>
          <w:tcPr>
            <w:tcW w:w="1486" w:type="dxa"/>
            <w:vMerge w:val="restart"/>
            <w:vAlign w:val="center"/>
          </w:tcPr>
          <w:p>
            <w:pPr>
              <w:jc w:val="center"/>
              <w:rPr>
                <w:rFonts w:ascii="宋体" w:hAnsi="宋体"/>
                <w:szCs w:val="24"/>
              </w:rPr>
            </w:pPr>
            <w:r>
              <w:rPr>
                <w:rFonts w:hint="eastAsia" w:ascii="宋体" w:hAnsi="宋体"/>
              </w:rPr>
              <w:t>300-565</w:t>
            </w:r>
          </w:p>
        </w:tc>
        <w:tc>
          <w:tcPr>
            <w:tcW w:w="1707" w:type="dxa"/>
            <w:vMerge w:val="restart"/>
            <w:vAlign w:val="center"/>
          </w:tcPr>
          <w:p>
            <w:pPr>
              <w:jc w:val="center"/>
              <w:rPr>
                <w:rFonts w:ascii="宋体" w:hAnsi="宋体"/>
              </w:rPr>
            </w:pPr>
            <w:r>
              <w:rPr>
                <w:rFonts w:hint="eastAsia" w:ascii="宋体" w:hAnsi="宋体"/>
              </w:rPr>
              <w:t>20-30</w:t>
            </w:r>
          </w:p>
        </w:tc>
        <w:tc>
          <w:tcPr>
            <w:tcW w:w="1761" w:type="dxa"/>
            <w:vMerge w:val="restart"/>
            <w:vAlign w:val="center"/>
          </w:tcPr>
          <w:p>
            <w:pPr>
              <w:jc w:val="center"/>
              <w:rPr>
                <w:rFonts w:ascii="宋体" w:hAnsi="宋体"/>
              </w:rPr>
            </w:pPr>
            <w:r>
              <w:rPr>
                <w:rFonts w:hint="eastAsia" w:ascii="宋体" w:hAnsi="宋体"/>
              </w:rPr>
              <w:t>常温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42CrMoH</w:t>
            </w:r>
          </w:p>
        </w:tc>
        <w:tc>
          <w:tcPr>
            <w:tcW w:w="1553" w:type="dxa"/>
            <w:vAlign w:val="center"/>
          </w:tcPr>
          <w:p>
            <w:pPr>
              <w:jc w:val="left"/>
              <w:rPr>
                <w:rFonts w:ascii="宋体" w:hAnsi="宋体"/>
                <w:szCs w:val="24"/>
              </w:rPr>
            </w:pPr>
            <w:r>
              <w:rPr>
                <w:rFonts w:hint="eastAsia" w:ascii="宋体" w:hAnsi="宋体"/>
                <w:szCs w:val="24"/>
              </w:rPr>
              <w:t>Φ90</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38MnSiVS6</w:t>
            </w:r>
          </w:p>
        </w:tc>
        <w:tc>
          <w:tcPr>
            <w:tcW w:w="1553" w:type="dxa"/>
            <w:vAlign w:val="center"/>
          </w:tcPr>
          <w:p>
            <w:pPr>
              <w:jc w:val="left"/>
              <w:rPr>
                <w:rFonts w:ascii="宋体" w:hAnsi="宋体"/>
                <w:szCs w:val="24"/>
              </w:rPr>
            </w:pPr>
            <w:r>
              <w:rPr>
                <w:rFonts w:hint="eastAsia" w:ascii="宋体" w:hAnsi="宋体"/>
                <w:szCs w:val="24"/>
              </w:rPr>
              <w:t>Φ85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38MnVS6</w:t>
            </w:r>
          </w:p>
        </w:tc>
        <w:tc>
          <w:tcPr>
            <w:tcW w:w="1553" w:type="dxa"/>
            <w:vAlign w:val="center"/>
          </w:tcPr>
          <w:p>
            <w:pPr>
              <w:jc w:val="left"/>
              <w:rPr>
                <w:rFonts w:ascii="宋体" w:hAnsi="宋体"/>
                <w:szCs w:val="24"/>
              </w:rPr>
            </w:pPr>
            <w:r>
              <w:rPr>
                <w:rFonts w:hint="eastAsia" w:ascii="宋体" w:hAnsi="宋体"/>
                <w:szCs w:val="24"/>
              </w:rPr>
              <w:t>Φ85-95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SAE1538MV</w:t>
            </w:r>
          </w:p>
        </w:tc>
        <w:tc>
          <w:tcPr>
            <w:tcW w:w="1553" w:type="dxa"/>
            <w:vAlign w:val="center"/>
          </w:tcPr>
          <w:p>
            <w:pPr>
              <w:jc w:val="left"/>
              <w:rPr>
                <w:rFonts w:ascii="宋体" w:hAnsi="宋体"/>
                <w:szCs w:val="24"/>
              </w:rPr>
            </w:pPr>
            <w:r>
              <w:rPr>
                <w:rFonts w:hint="eastAsia" w:ascii="宋体" w:hAnsi="宋体"/>
                <w:szCs w:val="24"/>
              </w:rPr>
              <w:t>Φ85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37CrS4</w:t>
            </w:r>
          </w:p>
        </w:tc>
        <w:tc>
          <w:tcPr>
            <w:tcW w:w="1553" w:type="dxa"/>
            <w:vAlign w:val="center"/>
          </w:tcPr>
          <w:p>
            <w:pPr>
              <w:jc w:val="left"/>
              <w:rPr>
                <w:rFonts w:ascii="宋体" w:hAnsi="宋体"/>
                <w:szCs w:val="24"/>
              </w:rPr>
            </w:pPr>
            <w:r>
              <w:rPr>
                <w:rFonts w:hint="eastAsia" w:ascii="宋体" w:hAnsi="宋体"/>
                <w:szCs w:val="24"/>
              </w:rPr>
              <w:t>Φ115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40CrNiMoA</w:t>
            </w:r>
          </w:p>
        </w:tc>
        <w:tc>
          <w:tcPr>
            <w:tcW w:w="1553" w:type="dxa"/>
            <w:vAlign w:val="center"/>
          </w:tcPr>
          <w:p>
            <w:pPr>
              <w:jc w:val="left"/>
              <w:rPr>
                <w:rFonts w:ascii="宋体" w:hAnsi="宋体"/>
                <w:szCs w:val="24"/>
              </w:rPr>
            </w:pPr>
            <w:r>
              <w:rPr>
                <w:rFonts w:hint="eastAsia" w:ascii="宋体" w:hAnsi="宋体"/>
                <w:szCs w:val="24"/>
              </w:rPr>
              <w:t>Φ100-125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86" w:type="dxa"/>
            <w:vAlign w:val="center"/>
          </w:tcPr>
          <w:p>
            <w:pPr>
              <w:jc w:val="left"/>
              <w:rPr>
                <w:rFonts w:ascii="宋体" w:hAnsi="宋体"/>
                <w:szCs w:val="24"/>
              </w:rPr>
            </w:pPr>
            <w:r>
              <w:rPr>
                <w:rFonts w:hint="eastAsia" w:ascii="宋体" w:hAnsi="宋体"/>
                <w:szCs w:val="24"/>
              </w:rPr>
              <w:t>C38N2</w:t>
            </w:r>
          </w:p>
        </w:tc>
        <w:tc>
          <w:tcPr>
            <w:tcW w:w="1553" w:type="dxa"/>
            <w:vAlign w:val="center"/>
          </w:tcPr>
          <w:p>
            <w:pPr>
              <w:jc w:val="left"/>
              <w:rPr>
                <w:rFonts w:ascii="宋体" w:hAnsi="宋体"/>
                <w:szCs w:val="24"/>
              </w:rPr>
            </w:pPr>
            <w:r>
              <w:rPr>
                <w:rFonts w:hint="eastAsia" w:ascii="宋体" w:hAnsi="宋体"/>
                <w:szCs w:val="24"/>
              </w:rPr>
              <w:t>Φ95</w:t>
            </w:r>
          </w:p>
        </w:tc>
        <w:tc>
          <w:tcPr>
            <w:tcW w:w="1486" w:type="dxa"/>
            <w:vMerge w:val="continue"/>
            <w:vAlign w:val="center"/>
          </w:tcPr>
          <w:p>
            <w:pPr>
              <w:jc w:val="center"/>
              <w:rPr>
                <w:rFonts w:ascii="宋体" w:hAnsi="宋体"/>
                <w:szCs w:val="24"/>
              </w:rPr>
            </w:pPr>
          </w:p>
        </w:tc>
        <w:tc>
          <w:tcPr>
            <w:tcW w:w="1707" w:type="dxa"/>
            <w:vMerge w:val="continue"/>
            <w:vAlign w:val="center"/>
          </w:tcPr>
          <w:p>
            <w:pPr>
              <w:jc w:val="center"/>
              <w:rPr>
                <w:rFonts w:ascii="宋体" w:hAnsi="宋体"/>
                <w:szCs w:val="24"/>
              </w:rPr>
            </w:pPr>
          </w:p>
        </w:tc>
        <w:tc>
          <w:tcPr>
            <w:tcW w:w="1761" w:type="dxa"/>
            <w:vMerge w:val="continue"/>
            <w:vAlign w:val="center"/>
          </w:tcPr>
          <w:p>
            <w:pPr>
              <w:jc w:val="center"/>
              <w:rPr>
                <w:rFonts w:ascii="宋体" w:hAnsi="宋体"/>
                <w:szCs w:val="24"/>
              </w:rPr>
            </w:pPr>
          </w:p>
        </w:tc>
      </w:tr>
    </w:tbl>
    <w:p>
      <w:pPr>
        <w:spacing w:before="381" w:beforeLines="100" w:line="360" w:lineRule="auto"/>
        <w:ind w:firstLine="420" w:firstLineChars="200"/>
        <w:rPr>
          <w:rFonts w:ascii="宋体" w:hAnsi="宋体"/>
        </w:rPr>
      </w:pPr>
      <w:r>
        <w:rPr>
          <w:rFonts w:hint="eastAsia" w:ascii="宋体" w:hAnsi="宋体"/>
        </w:rPr>
        <w:t>4.2.输送的材料：热轧圆钢。</w:t>
      </w:r>
    </w:p>
    <w:p>
      <w:pPr>
        <w:numPr>
          <w:ilvl w:val="0"/>
          <w:numId w:val="2"/>
        </w:numPr>
        <w:adjustRightInd w:val="0"/>
        <w:snapToGrid w:val="0"/>
        <w:spacing w:line="360" w:lineRule="auto"/>
        <w:ind w:left="480"/>
        <w:rPr>
          <w:rFonts w:ascii="宋体" w:hAnsi="宋体"/>
          <w:b/>
          <w:szCs w:val="24"/>
        </w:rPr>
      </w:pPr>
      <w:r>
        <w:rPr>
          <w:rFonts w:hint="eastAsia" w:ascii="宋体" w:hAnsi="宋体"/>
          <w:b/>
          <w:szCs w:val="24"/>
        </w:rPr>
        <w:t>供货范围及要求：</w:t>
      </w:r>
    </w:p>
    <w:tbl>
      <w:tblPr>
        <w:tblStyle w:val="18"/>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69"/>
        <w:gridCol w:w="585"/>
        <w:gridCol w:w="5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50" w:type="dxa"/>
            <w:vAlign w:val="center"/>
          </w:tcPr>
          <w:p>
            <w:pPr>
              <w:jc w:val="center"/>
              <w:rPr>
                <w:rFonts w:ascii="宋体" w:hAnsi="宋体"/>
              </w:rPr>
            </w:pPr>
            <w:r>
              <w:rPr>
                <w:rFonts w:hint="eastAsia" w:ascii="宋体" w:hAnsi="宋体"/>
              </w:rPr>
              <w:t>序号</w:t>
            </w:r>
          </w:p>
        </w:tc>
        <w:tc>
          <w:tcPr>
            <w:tcW w:w="1369" w:type="dxa"/>
            <w:vAlign w:val="center"/>
          </w:tcPr>
          <w:p>
            <w:pPr>
              <w:jc w:val="center"/>
              <w:rPr>
                <w:rFonts w:ascii="宋体" w:hAnsi="宋体"/>
              </w:rPr>
            </w:pPr>
            <w:r>
              <w:rPr>
                <w:rFonts w:hint="eastAsia" w:ascii="宋体" w:hAnsi="宋体"/>
              </w:rPr>
              <w:t>名称</w:t>
            </w:r>
          </w:p>
        </w:tc>
        <w:tc>
          <w:tcPr>
            <w:tcW w:w="585" w:type="dxa"/>
            <w:vAlign w:val="center"/>
          </w:tcPr>
          <w:p>
            <w:pPr>
              <w:jc w:val="center"/>
              <w:rPr>
                <w:rFonts w:ascii="宋体" w:hAnsi="宋体"/>
              </w:rPr>
            </w:pPr>
            <w:r>
              <w:rPr>
                <w:rFonts w:hint="eastAsia" w:ascii="宋体" w:hAnsi="宋体"/>
              </w:rPr>
              <w:t>数量</w:t>
            </w:r>
          </w:p>
        </w:tc>
        <w:tc>
          <w:tcPr>
            <w:tcW w:w="5417" w:type="dxa"/>
            <w:vAlign w:val="center"/>
          </w:tcPr>
          <w:p>
            <w:pPr>
              <w:jc w:val="center"/>
              <w:rPr>
                <w:rFonts w:ascii="宋体" w:hAnsi="宋体"/>
              </w:rPr>
            </w:pPr>
            <w:r>
              <w:rPr>
                <w:rFonts w:hint="eastAsia" w:ascii="宋体" w:hAnsi="宋体"/>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50" w:type="dxa"/>
            <w:vAlign w:val="center"/>
          </w:tcPr>
          <w:p>
            <w:pPr>
              <w:jc w:val="center"/>
              <w:rPr>
                <w:rFonts w:ascii="宋体" w:hAnsi="宋体"/>
              </w:rPr>
            </w:pPr>
            <w:r>
              <w:rPr>
                <w:rFonts w:hint="eastAsia" w:ascii="宋体" w:hAnsi="宋体"/>
              </w:rPr>
              <w:t>1</w:t>
            </w:r>
          </w:p>
        </w:tc>
        <w:tc>
          <w:tcPr>
            <w:tcW w:w="1369" w:type="dxa"/>
            <w:vAlign w:val="center"/>
          </w:tcPr>
          <w:p>
            <w:pPr>
              <w:rPr>
                <w:rFonts w:ascii="宋体" w:hAnsi="宋体"/>
              </w:rPr>
            </w:pPr>
            <w:r>
              <w:rPr>
                <w:rFonts w:hint="eastAsia" w:ascii="宋体" w:hAnsi="宋体"/>
              </w:rPr>
              <w:t>底架</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保证足够强度、耐冲击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0" w:type="dxa"/>
            <w:vAlign w:val="center"/>
          </w:tcPr>
          <w:p>
            <w:pPr>
              <w:jc w:val="center"/>
              <w:rPr>
                <w:rFonts w:ascii="宋体" w:hAnsi="宋体"/>
              </w:rPr>
            </w:pPr>
            <w:r>
              <w:rPr>
                <w:rFonts w:hint="eastAsia" w:ascii="宋体" w:hAnsi="宋体"/>
              </w:rPr>
              <w:t>2</w:t>
            </w:r>
          </w:p>
        </w:tc>
        <w:tc>
          <w:tcPr>
            <w:tcW w:w="1369" w:type="dxa"/>
            <w:vAlign w:val="center"/>
          </w:tcPr>
          <w:p>
            <w:pPr>
              <w:rPr>
                <w:rFonts w:ascii="宋体" w:hAnsi="宋体"/>
              </w:rPr>
            </w:pPr>
            <w:r>
              <w:rPr>
                <w:rFonts w:hint="eastAsia" w:ascii="宋体" w:hAnsi="宋体"/>
              </w:rPr>
              <w:t>翻料装置</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液压倾料</w:t>
            </w:r>
          </w:p>
          <w:p>
            <w:pPr>
              <w:rPr>
                <w:rFonts w:ascii="宋体" w:hAnsi="宋体"/>
              </w:rPr>
            </w:pPr>
            <w:r>
              <w:rPr>
                <w:rFonts w:hint="eastAsia" w:ascii="宋体" w:hAnsi="宋体"/>
              </w:rPr>
              <w:t>翻料重量</w:t>
            </w:r>
            <w:r>
              <w:rPr>
                <w:rFonts w:ascii="Arial" w:hAnsi="Arial" w:cs="Arial"/>
              </w:rPr>
              <w:t>≥</w:t>
            </w:r>
            <w:r>
              <w:rPr>
                <w:rFonts w:hint="eastAsia" w:ascii="宋体" w:hAnsi="宋体"/>
              </w:rPr>
              <w:t>5吨。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50" w:type="dxa"/>
            <w:vAlign w:val="center"/>
          </w:tcPr>
          <w:p>
            <w:pPr>
              <w:jc w:val="center"/>
              <w:rPr>
                <w:rFonts w:ascii="宋体" w:hAnsi="宋体"/>
              </w:rPr>
            </w:pPr>
            <w:r>
              <w:rPr>
                <w:rFonts w:hint="eastAsia" w:ascii="宋体" w:hAnsi="宋体"/>
              </w:rPr>
              <w:t>3</w:t>
            </w:r>
          </w:p>
        </w:tc>
        <w:tc>
          <w:tcPr>
            <w:tcW w:w="1369" w:type="dxa"/>
            <w:vAlign w:val="center"/>
          </w:tcPr>
          <w:p>
            <w:pPr>
              <w:rPr>
                <w:rFonts w:ascii="宋体" w:hAnsi="宋体"/>
              </w:rPr>
            </w:pPr>
            <w:r>
              <w:rPr>
                <w:rFonts w:hint="eastAsia" w:ascii="宋体" w:hAnsi="宋体"/>
              </w:rPr>
              <w:t>阶梯上料机</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带振动机构，储料箱储料</w:t>
            </w:r>
            <w:r>
              <w:rPr>
                <w:rFonts w:ascii="Arial" w:hAnsi="Arial" w:cs="Arial"/>
              </w:rPr>
              <w:t>≥</w:t>
            </w:r>
            <w:r>
              <w:rPr>
                <w:rFonts w:hint="eastAsia" w:ascii="宋体" w:hAnsi="宋体"/>
              </w:rPr>
              <w:t>8吨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50" w:type="dxa"/>
            <w:vAlign w:val="center"/>
          </w:tcPr>
          <w:p>
            <w:pPr>
              <w:jc w:val="center"/>
              <w:rPr>
                <w:rFonts w:ascii="宋体" w:hAnsi="宋体"/>
              </w:rPr>
            </w:pPr>
            <w:r>
              <w:rPr>
                <w:rFonts w:hint="eastAsia" w:ascii="宋体" w:hAnsi="宋体"/>
              </w:rPr>
              <w:t>4</w:t>
            </w:r>
          </w:p>
        </w:tc>
        <w:tc>
          <w:tcPr>
            <w:tcW w:w="1369" w:type="dxa"/>
            <w:vAlign w:val="center"/>
          </w:tcPr>
          <w:p>
            <w:pPr>
              <w:rPr>
                <w:rFonts w:ascii="宋体" w:hAnsi="宋体"/>
              </w:rPr>
            </w:pPr>
            <w:r>
              <w:rPr>
                <w:rFonts w:hint="eastAsia" w:ascii="宋体" w:hAnsi="宋体"/>
              </w:rPr>
              <w:t>输送链</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运行平顺不卡顿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850" w:type="dxa"/>
            <w:vAlign w:val="center"/>
          </w:tcPr>
          <w:p>
            <w:pPr>
              <w:jc w:val="center"/>
              <w:rPr>
                <w:rFonts w:ascii="宋体" w:hAnsi="宋体"/>
              </w:rPr>
            </w:pPr>
            <w:r>
              <w:rPr>
                <w:rFonts w:hint="eastAsia" w:ascii="宋体" w:hAnsi="宋体"/>
              </w:rPr>
              <w:t>5</w:t>
            </w:r>
          </w:p>
        </w:tc>
        <w:tc>
          <w:tcPr>
            <w:tcW w:w="1369" w:type="dxa"/>
            <w:vAlign w:val="center"/>
          </w:tcPr>
          <w:p>
            <w:pPr>
              <w:rPr>
                <w:rFonts w:ascii="宋体" w:hAnsi="宋体"/>
              </w:rPr>
            </w:pPr>
            <w:r>
              <w:rPr>
                <w:rFonts w:hint="eastAsia" w:ascii="宋体" w:hAnsi="宋体"/>
              </w:rPr>
              <w:t>液压站</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管道布置合理、无泄漏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50" w:type="dxa"/>
            <w:vAlign w:val="center"/>
          </w:tcPr>
          <w:p>
            <w:pPr>
              <w:jc w:val="center"/>
              <w:rPr>
                <w:rFonts w:ascii="宋体" w:hAnsi="宋体"/>
              </w:rPr>
            </w:pPr>
            <w:r>
              <w:rPr>
                <w:rFonts w:hint="eastAsia" w:ascii="宋体" w:hAnsi="宋体"/>
              </w:rPr>
              <w:t>6</w:t>
            </w:r>
          </w:p>
        </w:tc>
        <w:tc>
          <w:tcPr>
            <w:tcW w:w="1369" w:type="dxa"/>
            <w:vAlign w:val="center"/>
          </w:tcPr>
          <w:p>
            <w:pPr>
              <w:rPr>
                <w:rFonts w:ascii="宋体" w:hAnsi="宋体"/>
              </w:rPr>
            </w:pPr>
            <w:r>
              <w:rPr>
                <w:rFonts w:hint="eastAsia" w:ascii="宋体" w:hAnsi="宋体"/>
              </w:rPr>
              <w:t>清空装置</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由气缸控制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50" w:type="dxa"/>
            <w:vAlign w:val="center"/>
          </w:tcPr>
          <w:p>
            <w:pPr>
              <w:jc w:val="center"/>
              <w:rPr>
                <w:rFonts w:ascii="宋体" w:hAnsi="宋体"/>
              </w:rPr>
            </w:pPr>
            <w:r>
              <w:rPr>
                <w:rFonts w:hint="eastAsia" w:ascii="宋体" w:hAnsi="宋体"/>
              </w:rPr>
              <w:t>7</w:t>
            </w:r>
          </w:p>
        </w:tc>
        <w:tc>
          <w:tcPr>
            <w:tcW w:w="1369" w:type="dxa"/>
            <w:vAlign w:val="center"/>
          </w:tcPr>
          <w:p>
            <w:pPr>
              <w:rPr>
                <w:rFonts w:ascii="宋体" w:hAnsi="宋体"/>
              </w:rPr>
            </w:pPr>
            <w:r>
              <w:rPr>
                <w:rFonts w:hint="eastAsia" w:ascii="宋体" w:hAnsi="宋体"/>
              </w:rPr>
              <w:t>清空杆</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不锈钢清空杆，带电清空，不打滑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0" w:type="dxa"/>
            <w:vAlign w:val="center"/>
          </w:tcPr>
          <w:p>
            <w:pPr>
              <w:jc w:val="center"/>
              <w:rPr>
                <w:rFonts w:ascii="宋体" w:hAnsi="宋体"/>
              </w:rPr>
            </w:pPr>
            <w:r>
              <w:rPr>
                <w:rFonts w:hint="eastAsia" w:ascii="宋体" w:hAnsi="宋体"/>
              </w:rPr>
              <w:t>8</w:t>
            </w:r>
          </w:p>
        </w:tc>
        <w:tc>
          <w:tcPr>
            <w:tcW w:w="1369" w:type="dxa"/>
            <w:vAlign w:val="center"/>
          </w:tcPr>
          <w:p>
            <w:pPr>
              <w:rPr>
                <w:rFonts w:ascii="宋体" w:hAnsi="宋体"/>
              </w:rPr>
            </w:pPr>
            <w:r>
              <w:rPr>
                <w:rFonts w:hint="eastAsia" w:ascii="宋体" w:hAnsi="宋体"/>
              </w:rPr>
              <w:t>电控系统</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rPr>
                <w:rFonts w:ascii="宋体" w:hAnsi="宋体"/>
              </w:rPr>
            </w:pPr>
            <w:r>
              <w:rPr>
                <w:rFonts w:hint="eastAsia" w:ascii="宋体" w:hAnsi="宋体"/>
              </w:rPr>
              <w:t>原中频炉PLC采用西门子S7-1500控制，利用原PLC及增加相关的电器元件实现阶梯上料机自动工作，所用元器件为国际国内知名品牌，并可与总控实现全程联机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50" w:type="dxa"/>
            <w:vAlign w:val="center"/>
          </w:tcPr>
          <w:p>
            <w:pPr>
              <w:jc w:val="center"/>
              <w:rPr>
                <w:rFonts w:ascii="宋体" w:hAnsi="宋体"/>
              </w:rPr>
            </w:pPr>
            <w:r>
              <w:rPr>
                <w:rFonts w:hint="eastAsia" w:ascii="宋体" w:hAnsi="宋体"/>
              </w:rPr>
              <w:t>9</w:t>
            </w:r>
          </w:p>
        </w:tc>
        <w:tc>
          <w:tcPr>
            <w:tcW w:w="1369" w:type="dxa"/>
            <w:vAlign w:val="center"/>
          </w:tcPr>
          <w:p>
            <w:pPr>
              <w:jc w:val="left"/>
              <w:rPr>
                <w:rFonts w:ascii="宋体" w:hAnsi="宋体"/>
              </w:rPr>
            </w:pPr>
            <w:r>
              <w:rPr>
                <w:rFonts w:hint="eastAsia" w:ascii="宋体" w:hAnsi="宋体"/>
              </w:rPr>
              <w:t>护栏、爬梯</w:t>
            </w:r>
          </w:p>
        </w:tc>
        <w:tc>
          <w:tcPr>
            <w:tcW w:w="585" w:type="dxa"/>
            <w:vAlign w:val="center"/>
          </w:tcPr>
          <w:p>
            <w:pPr>
              <w:jc w:val="center"/>
              <w:rPr>
                <w:rFonts w:ascii="宋体" w:hAnsi="宋体"/>
              </w:rPr>
            </w:pPr>
            <w:r>
              <w:rPr>
                <w:rFonts w:hint="eastAsia" w:ascii="宋体" w:hAnsi="宋体"/>
              </w:rPr>
              <w:t>1</w:t>
            </w:r>
          </w:p>
        </w:tc>
        <w:tc>
          <w:tcPr>
            <w:tcW w:w="5417" w:type="dxa"/>
            <w:vAlign w:val="center"/>
          </w:tcPr>
          <w:p>
            <w:pPr>
              <w:ind w:right="-340" w:rightChars="-162"/>
              <w:rPr>
                <w:rFonts w:ascii="宋体" w:hAnsi="宋体"/>
              </w:rPr>
            </w:pPr>
            <w:r>
              <w:rPr>
                <w:rFonts w:hint="eastAsia" w:ascii="宋体" w:hAnsi="宋体"/>
              </w:rPr>
              <w:t>按标准执行，在翻料机构三侧、阶梯上料机二侧及输送链一</w:t>
            </w:r>
          </w:p>
          <w:p>
            <w:pPr>
              <w:ind w:right="-340" w:rightChars="-162"/>
              <w:rPr>
                <w:rFonts w:ascii="宋体" w:hAnsi="宋体"/>
              </w:rPr>
            </w:pPr>
            <w:r>
              <w:rPr>
                <w:rFonts w:hint="eastAsia" w:ascii="宋体" w:hAnsi="宋体"/>
              </w:rPr>
              <w:t>侧配置护栏及爬梯</w:t>
            </w:r>
          </w:p>
        </w:tc>
      </w:tr>
    </w:tbl>
    <w:p>
      <w:pPr>
        <w:spacing w:line="360" w:lineRule="auto"/>
        <w:ind w:firstLine="422" w:firstLineChars="200"/>
        <w:rPr>
          <w:rFonts w:ascii="宋体" w:hAnsi="宋体"/>
          <w:b/>
          <w:szCs w:val="24"/>
        </w:rPr>
      </w:pPr>
    </w:p>
    <w:p>
      <w:pPr>
        <w:spacing w:line="360" w:lineRule="auto"/>
        <w:ind w:firstLine="422" w:firstLineChars="200"/>
        <w:rPr>
          <w:rFonts w:ascii="宋体" w:hAnsi="宋体"/>
          <w:b/>
          <w:szCs w:val="24"/>
        </w:rPr>
      </w:pPr>
      <w:r>
        <w:rPr>
          <w:rFonts w:hint="eastAsia" w:ascii="宋体" w:hAnsi="宋体"/>
          <w:b/>
          <w:szCs w:val="24"/>
        </w:rPr>
        <w:t>6.上料机功能简介</w:t>
      </w:r>
    </w:p>
    <w:p>
      <w:pPr>
        <w:rPr>
          <w:rFonts w:ascii="宋体" w:hAnsi="宋体"/>
          <w:szCs w:val="24"/>
        </w:rPr>
      </w:pPr>
      <w:r>
        <w:rPr>
          <w:rFonts w:hint="eastAsia" w:ascii="宋体" w:hAnsi="宋体"/>
          <w:szCs w:val="24"/>
        </w:rPr>
        <w:t xml:space="preserve">     上料机生产流程</w:t>
      </w:r>
    </w:p>
    <w:p>
      <w:pPr>
        <w:rPr>
          <w:rFonts w:ascii="宋体" w:hAnsi="宋体"/>
        </w:rPr>
      </w:pPr>
    </w:p>
    <w:p>
      <w:pPr>
        <w:rPr>
          <w:rFonts w:ascii="宋体" w:hAnsi="宋体"/>
        </w:rPr>
      </w:pPr>
      <w:r>
        <w:rPr>
          <w:rFonts w:ascii="宋体" w:hAnsi="宋体"/>
        </w:rPr>
        <w:pict>
          <v:group id="组合 2" o:spid="_x0000_s1027" o:spt="203" style="height:168.45pt;width:336.3pt;" coordsize="5075,2527">
            <o:lock v:ext="edit"/>
            <v:shape id="图片 3" o:spid="_x0000_s1028" o:spt="75" type="#_x0000_t75" style="position:absolute;left:0;top:0;height:2527;width:5075;" filled="f" o:preferrelative="t" stroked="f" coordsize="21600,21600">
              <v:path/>
              <v:fill on="f" focussize="0,0"/>
              <v:stroke on="f" joinstyle="miter"/>
              <v:imagedata o:title=""/>
              <o:lock v:ext="edit" rotation="t" text="t" aspectratio="t"/>
            </v:shape>
            <v:line id="直线 103" o:spid="_x0000_s1029" o:spt="20" style="position:absolute;left:951;top:742;height:0;width:272;" stroked="t" coordsize="21600,21600">
              <v:path arrowok="t"/>
              <v:fill focussize="0,0"/>
              <v:stroke weight="1.25pt" color="#739CC3" endarrow="block"/>
              <v:imagedata o:title=""/>
              <o:lock v:ext="edit"/>
            </v:line>
            <v:line id="直线 104" o:spid="_x0000_s1030" o:spt="20" style="position:absolute;left:1902;top:742;height:0;width:272;" stroked="t" coordsize="21600,21600">
              <v:path arrowok="t"/>
              <v:fill focussize="0,0"/>
              <v:stroke weight="1.25pt" color="#739CC3" endarrow="block"/>
              <v:imagedata o:title=""/>
              <o:lock v:ext="edit"/>
            </v:line>
            <v:line id="直线 105" o:spid="_x0000_s1031" o:spt="20" style="position:absolute;left:2989;top:742;height:0;width:271;" stroked="t" coordsize="21600,21600">
              <v:path arrowok="t"/>
              <v:fill focussize="0,0"/>
              <v:stroke weight="1.25pt" color="#739CC3" endarrow="block"/>
              <v:imagedata o:title=""/>
              <o:lock v:ext="edit"/>
            </v:line>
            <v:rect id="矩形 106" o:spid="_x0000_s1032" o:spt="1" style="position:absolute;left:1189;top:81;height:1206;width:713;" coordsize="21600,21600">
              <v:path/>
              <v:fill focussize="0,0"/>
              <v:stroke/>
              <v:imagedata o:title=""/>
              <o:lock v:ext="edit"/>
              <v:textbox>
                <w:txbxContent>
                  <w:p>
                    <w:pPr>
                      <w:rPr>
                        <w:sz w:val="18"/>
                        <w:szCs w:val="18"/>
                      </w:rPr>
                    </w:pPr>
                    <w:r>
                      <w:rPr>
                        <w:rFonts w:hint="eastAsia"/>
                        <w:sz w:val="18"/>
                        <w:szCs w:val="18"/>
                      </w:rPr>
                      <w:t>振动机构</w:t>
                    </w:r>
                  </w:p>
                  <w:p>
                    <w:pPr>
                      <w:jc w:val="center"/>
                    </w:pPr>
                  </w:p>
                </w:txbxContent>
              </v:textbox>
            </v:rect>
            <v:rect id="矩形 107" o:spid="_x0000_s1033" o:spt="1" style="position:absolute;left:2173;top:117;height:1053;width:748;" coordsize="21600,21600">
              <v:path/>
              <v:fill focussize="0,0"/>
              <v:stroke/>
              <v:imagedata o:title=""/>
              <o:lock v:ext="edit"/>
              <v:textbox>
                <w:txbxContent>
                  <w:p>
                    <w:pPr>
                      <w:jc w:val="center"/>
                    </w:pPr>
                    <w:r>
                      <w:rPr>
                        <w:rFonts w:hint="eastAsia"/>
                      </w:rPr>
                      <w:t>上料机</w:t>
                    </w:r>
                  </w:p>
                  <w:p>
                    <w:pPr>
                      <w:jc w:val="center"/>
                    </w:pPr>
                  </w:p>
                </w:txbxContent>
              </v:textbox>
            </v:rect>
            <v:rect id="矩形 108" o:spid="_x0000_s1034" o:spt="1" style="position:absolute;left:3226;top:81;height:1323;width:724;" coordsize="21600,21600">
              <v:path/>
              <v:fill focussize="0,0"/>
              <v:stroke/>
              <v:imagedata o:title=""/>
              <o:lock v:ext="edit"/>
              <v:textbox>
                <w:txbxContent>
                  <w:p>
                    <w:pPr/>
                    <w:r>
                      <w:rPr>
                        <w:rFonts w:hint="eastAsia"/>
                      </w:rPr>
                      <w:t>输送链</w:t>
                    </w:r>
                    <w:r>
                      <w:t xml:space="preserve"> </w:t>
                    </w:r>
                  </w:p>
                  <w:p>
                    <w:pPr/>
                  </w:p>
                  <w:p>
                    <w:pPr>
                      <w:jc w:val="center"/>
                    </w:pPr>
                  </w:p>
                </w:txbxContent>
              </v:textbox>
            </v:rect>
            <v:rect id="矩形 109" o:spid="_x0000_s1035" o:spt="1" style="position:absolute;left:238;top:81;height:1053;width:713;" coordsize="21600,21600">
              <v:path/>
              <v:fill focussize="0,0"/>
              <v:stroke/>
              <v:imagedata o:title=""/>
              <o:lock v:ext="edit"/>
              <v:textbox>
                <w:txbxContent>
                  <w:p>
                    <w:pPr/>
                    <w:r>
                      <w:rPr>
                        <w:rFonts w:hint="eastAsia"/>
                      </w:rPr>
                      <w:t>翻料斗</w:t>
                    </w:r>
                  </w:p>
                  <w:p>
                    <w:pPr>
                      <w:jc w:val="center"/>
                    </w:pPr>
                  </w:p>
                </w:txbxContent>
              </v:textbox>
            </v:rect>
            <v:rect id="矩形 110" o:spid="_x0000_s1036" o:spt="1" style="position:absolute;left:4232;top:66;height:1320;width:709;" coordsize="21600,21600">
              <v:path/>
              <v:fill focussize="0,0"/>
              <v:stroke/>
              <v:imagedata o:title=""/>
              <o:lock v:ext="edit"/>
              <v:textbox>
                <w:txbxContent>
                  <w:p>
                    <w:pPr/>
                    <w:r>
                      <w:rPr>
                        <w:rFonts w:hint="eastAsia"/>
                      </w:rPr>
                      <w:t>加热炉输送链</w:t>
                    </w:r>
                    <w:r>
                      <w:t xml:space="preserve"> </w:t>
                    </w:r>
                  </w:p>
                  <w:p>
                    <w:pPr/>
                  </w:p>
                  <w:p>
                    <w:pPr>
                      <w:jc w:val="center"/>
                    </w:pPr>
                  </w:p>
                </w:txbxContent>
              </v:textbox>
            </v:rect>
            <v:line id="直线 111" o:spid="_x0000_s1037" o:spt="20" style="position:absolute;left:3961;top:707;height:0;width:257;" stroked="t" coordsize="21600,21600">
              <v:path arrowok="t"/>
              <v:fill focussize="0,0"/>
              <v:stroke weight="1.25pt" color="#739CC3" endarrow="block"/>
              <v:imagedata o:title=""/>
              <o:lock v:ext="edit"/>
            </v:line>
            <w10:wrap type="none"/>
            <w10:anchorlock/>
          </v:group>
        </w:pict>
      </w:r>
    </w:p>
    <w:p>
      <w:pPr>
        <w:ind w:firstLine="422" w:firstLineChars="200"/>
        <w:rPr>
          <w:rFonts w:ascii="宋体" w:hAnsi="宋体"/>
        </w:rPr>
      </w:pPr>
      <w:r>
        <w:rPr>
          <w:rFonts w:hint="eastAsia" w:ascii="宋体" w:hAnsi="宋体"/>
          <w:b/>
        </w:rPr>
        <w:t>7.接口要求</w:t>
      </w:r>
    </w:p>
    <w:p>
      <w:pPr>
        <w:tabs>
          <w:tab w:val="left" w:pos="5130"/>
        </w:tabs>
        <w:spacing w:line="360" w:lineRule="auto"/>
        <w:ind w:left="416" w:leftChars="198" w:firstLine="2" w:firstLineChars="1"/>
        <w:rPr>
          <w:rFonts w:ascii="宋体" w:hAnsi="宋体"/>
        </w:rPr>
      </w:pPr>
      <w:r>
        <w:rPr>
          <w:rFonts w:hint="eastAsia" w:ascii="宋体" w:hAnsi="宋体"/>
        </w:rPr>
        <w:t>7.1上料机布置必须符合需方平面布置图布置图要求。（见附图：）</w:t>
      </w:r>
    </w:p>
    <w:p>
      <w:pPr>
        <w:tabs>
          <w:tab w:val="left" w:pos="5130"/>
        </w:tabs>
        <w:spacing w:line="360" w:lineRule="auto"/>
        <w:ind w:left="420" w:leftChars="200"/>
        <w:rPr>
          <w:rFonts w:ascii="宋体" w:hAnsi="宋体"/>
        </w:rPr>
      </w:pPr>
      <w:r>
        <w:rPr>
          <w:rFonts w:hint="eastAsia" w:ascii="宋体" w:hAnsi="宋体"/>
        </w:rPr>
        <w:t>7.2上料机输送链必须与加热炉夹辊可靠对接。</w:t>
      </w:r>
    </w:p>
    <w:p>
      <w:pPr>
        <w:tabs>
          <w:tab w:val="left" w:pos="5130"/>
        </w:tabs>
        <w:spacing w:line="360" w:lineRule="auto"/>
        <w:ind w:firstLine="420" w:firstLineChars="200"/>
        <w:rPr>
          <w:rFonts w:ascii="宋体" w:hAnsi="宋体"/>
        </w:rPr>
      </w:pPr>
      <w:r>
        <w:rPr>
          <w:rFonts w:hint="eastAsia" w:ascii="宋体" w:hAnsi="宋体"/>
        </w:rPr>
        <w:t>7.3上料机输送链能够有序的将坯料传送到加热炉的输送链上。</w:t>
      </w:r>
    </w:p>
    <w:p>
      <w:pPr>
        <w:tabs>
          <w:tab w:val="left" w:pos="5130"/>
        </w:tabs>
        <w:spacing w:line="360" w:lineRule="auto"/>
        <w:ind w:firstLine="420" w:firstLineChars="200"/>
        <w:rPr>
          <w:rFonts w:ascii="宋体" w:hAnsi="宋体"/>
        </w:rPr>
      </w:pPr>
      <w:r>
        <w:rPr>
          <w:rFonts w:hint="eastAsia" w:ascii="宋体" w:hAnsi="宋体"/>
        </w:rPr>
        <w:t>7.4上料机输送链按照加热炉的指令传输坯料，并能满足加热炉对坯料的节拍要求。</w:t>
      </w:r>
    </w:p>
    <w:p>
      <w:pPr>
        <w:tabs>
          <w:tab w:val="left" w:pos="5130"/>
        </w:tabs>
        <w:spacing w:line="440" w:lineRule="exact"/>
        <w:ind w:firstLine="420" w:firstLineChars="200"/>
        <w:rPr>
          <w:rFonts w:ascii="宋体" w:hAnsi="宋体"/>
        </w:rPr>
      </w:pPr>
      <w:r>
        <w:rPr>
          <w:rFonts w:hint="eastAsia" w:ascii="宋体" w:hAnsi="宋体"/>
        </w:rPr>
        <w:t>7.5阶梯上料机电控控制采用原中频炉西门子PLC，供方负责增加模块及配线调试等达到自动化生产要求。</w:t>
      </w:r>
    </w:p>
    <w:p>
      <w:pPr>
        <w:tabs>
          <w:tab w:val="left" w:pos="5130"/>
        </w:tabs>
        <w:spacing w:line="440" w:lineRule="exact"/>
        <w:ind w:firstLine="420" w:firstLineChars="200"/>
        <w:rPr>
          <w:rFonts w:ascii="宋体" w:hAnsi="宋体"/>
        </w:rPr>
      </w:pPr>
      <w:r>
        <w:rPr>
          <w:rFonts w:hint="eastAsia" w:ascii="宋体" w:hAnsi="宋体"/>
        </w:rPr>
        <w:t>7.6供方需提供阶梯上料机的基础工程施工图。</w:t>
      </w:r>
    </w:p>
    <w:p>
      <w:pPr>
        <w:tabs>
          <w:tab w:val="left" w:pos="5130"/>
        </w:tabs>
        <w:spacing w:line="440" w:lineRule="exact"/>
        <w:ind w:firstLine="422" w:firstLineChars="200"/>
        <w:rPr>
          <w:rFonts w:ascii="宋体" w:hAnsi="宋体"/>
        </w:rPr>
      </w:pPr>
      <w:r>
        <w:rPr>
          <w:rFonts w:hint="eastAsia" w:ascii="宋体" w:hAnsi="宋体"/>
          <w:b/>
        </w:rPr>
        <w:t>8.制造及质量保证</w:t>
      </w:r>
    </w:p>
    <w:p>
      <w:pPr>
        <w:spacing w:line="360" w:lineRule="auto"/>
        <w:ind w:left="420" w:leftChars="200"/>
        <w:rPr>
          <w:rFonts w:ascii="宋体" w:hAnsi="宋体"/>
        </w:rPr>
      </w:pPr>
      <w:r>
        <w:rPr>
          <w:rFonts w:hint="eastAsia" w:ascii="宋体" w:hAnsi="宋体"/>
        </w:rPr>
        <w:t>8.1制造技术要求、精度、试验方法与检验规则、标志、包装、运输按相关标准执行8.2并满足技术协议要求。设备颜色按需方要求执行。</w:t>
      </w:r>
    </w:p>
    <w:p>
      <w:pPr>
        <w:spacing w:line="360" w:lineRule="auto"/>
        <w:ind w:firstLine="420" w:firstLineChars="200"/>
        <w:rPr>
          <w:rFonts w:ascii="宋体" w:hAnsi="宋体"/>
        </w:rPr>
      </w:pPr>
      <w:r>
        <w:rPr>
          <w:rFonts w:hint="eastAsia" w:ascii="宋体" w:hAnsi="宋体"/>
        </w:rPr>
        <w:t>8.3供方设计完成的</w:t>
      </w:r>
      <w:r>
        <w:rPr>
          <w:rFonts w:hint="eastAsia"/>
        </w:rPr>
        <w:t>装置</w:t>
      </w:r>
      <w:r>
        <w:rPr>
          <w:rFonts w:hint="eastAsia" w:ascii="宋体" w:hAnsi="宋体"/>
        </w:rPr>
        <w:t>图纸与需方进行交流沟通后再进行生产。</w:t>
      </w:r>
    </w:p>
    <w:p>
      <w:pPr>
        <w:spacing w:line="360" w:lineRule="auto"/>
        <w:ind w:left="420" w:leftChars="200"/>
        <w:rPr>
          <w:rFonts w:ascii="宋体" w:hAnsi="宋体"/>
        </w:rPr>
      </w:pPr>
      <w:r>
        <w:rPr>
          <w:rFonts w:hint="eastAsia" w:ascii="宋体" w:hAnsi="宋体"/>
        </w:rPr>
        <w:t>8.4质保期为1年,质保期内需方在正常使用情况下，所出现的一切设备问题及相关费用均由供方负责。</w:t>
      </w:r>
    </w:p>
    <w:p>
      <w:pPr>
        <w:spacing w:line="360" w:lineRule="auto"/>
        <w:ind w:firstLine="422" w:firstLineChars="200"/>
        <w:rPr>
          <w:rFonts w:ascii="宋体" w:hAnsi="宋体"/>
          <w:b/>
          <w:bCs/>
          <w:position w:val="2"/>
          <w:szCs w:val="24"/>
        </w:rPr>
      </w:pPr>
      <w:r>
        <w:rPr>
          <w:rFonts w:hint="eastAsia" w:ascii="宋体" w:hAnsi="宋体"/>
          <w:b/>
          <w:bCs/>
          <w:position w:val="2"/>
          <w:szCs w:val="24"/>
        </w:rPr>
        <w:t>9.安装调试</w:t>
      </w:r>
    </w:p>
    <w:p>
      <w:pPr>
        <w:spacing w:line="360" w:lineRule="auto"/>
        <w:ind w:firstLine="420" w:firstLineChars="200"/>
        <w:rPr>
          <w:rFonts w:ascii="宋体" w:hAnsi="宋体"/>
          <w:position w:val="2"/>
        </w:rPr>
      </w:pPr>
      <w:r>
        <w:rPr>
          <w:rFonts w:hint="eastAsia" w:ascii="宋体" w:hAnsi="宋体"/>
          <w:position w:val="2"/>
        </w:rPr>
        <w:t>9.1上料机安装由供方负责，本项目为交钥匙工程。</w:t>
      </w:r>
    </w:p>
    <w:p>
      <w:pPr>
        <w:spacing w:line="360" w:lineRule="auto"/>
        <w:ind w:firstLine="420" w:firstLineChars="200"/>
        <w:rPr>
          <w:rFonts w:ascii="宋体" w:hAnsi="宋体"/>
          <w:position w:val="2"/>
        </w:rPr>
      </w:pPr>
      <w:r>
        <w:rPr>
          <w:rFonts w:hint="eastAsia" w:ascii="宋体" w:hAnsi="宋体"/>
          <w:position w:val="2"/>
        </w:rPr>
        <w:t>9.2根据需方的时间安排，供方派人到需方现场进行安装及调试。</w:t>
      </w:r>
    </w:p>
    <w:p>
      <w:pPr>
        <w:spacing w:line="360" w:lineRule="auto"/>
        <w:ind w:firstLine="422" w:firstLineChars="200"/>
        <w:rPr>
          <w:rFonts w:ascii="宋体" w:hAnsi="宋体"/>
          <w:b/>
        </w:rPr>
      </w:pPr>
      <w:r>
        <w:rPr>
          <w:rFonts w:hint="eastAsia" w:ascii="宋体" w:hAnsi="宋体"/>
          <w:b/>
        </w:rPr>
        <w:t>10.验收</w:t>
      </w:r>
    </w:p>
    <w:p>
      <w:pPr>
        <w:spacing w:line="360" w:lineRule="auto"/>
        <w:ind w:left="525" w:leftChars="200" w:hanging="105" w:hangingChars="50"/>
        <w:rPr>
          <w:rFonts w:ascii="宋体" w:hAnsi="宋体"/>
          <w:position w:val="2"/>
        </w:rPr>
      </w:pPr>
      <w:r>
        <w:rPr>
          <w:rFonts w:hint="eastAsia" w:ascii="宋体" w:hAnsi="宋体"/>
          <w:position w:val="2"/>
        </w:rPr>
        <w:t>10.1 预验收:根据需方的需要，安排预验收，预验收在供方工厂进行；预验收合格后，由供方组织发货到需方。</w:t>
      </w:r>
    </w:p>
    <w:p>
      <w:pPr>
        <w:spacing w:line="360" w:lineRule="auto"/>
        <w:ind w:firstLine="420" w:firstLineChars="200"/>
        <w:rPr>
          <w:rFonts w:ascii="宋体" w:hAnsi="宋体"/>
          <w:position w:val="2"/>
        </w:rPr>
      </w:pPr>
      <w:r>
        <w:rPr>
          <w:rFonts w:hint="eastAsia" w:ascii="宋体" w:hAnsi="宋体"/>
          <w:position w:val="2"/>
        </w:rPr>
        <w:t>10.2终验收：终验收在需方工厂进行。</w:t>
      </w:r>
    </w:p>
    <w:p>
      <w:pPr>
        <w:spacing w:line="360" w:lineRule="auto"/>
        <w:ind w:firstLine="420" w:firstLineChars="200"/>
        <w:rPr>
          <w:rFonts w:ascii="宋体" w:hAnsi="宋体"/>
          <w:position w:val="2"/>
        </w:rPr>
      </w:pPr>
      <w:r>
        <w:rPr>
          <w:rFonts w:hint="eastAsia" w:ascii="宋体" w:hAnsi="宋体"/>
          <w:position w:val="2"/>
        </w:rPr>
        <w:t>10.3验收条款：供货范围及满足生产技术要求。</w:t>
      </w:r>
    </w:p>
    <w:p>
      <w:pPr>
        <w:spacing w:line="360" w:lineRule="auto"/>
        <w:ind w:firstLine="413" w:firstLineChars="196"/>
        <w:rPr>
          <w:rFonts w:ascii="宋体" w:hAnsi="宋体"/>
          <w:b/>
        </w:rPr>
      </w:pPr>
      <w:r>
        <w:rPr>
          <w:rFonts w:hint="eastAsia" w:ascii="宋体" w:hAnsi="宋体"/>
          <w:b/>
        </w:rPr>
        <w:t>11.技术服务要求</w:t>
      </w:r>
    </w:p>
    <w:p>
      <w:pPr>
        <w:spacing w:line="360" w:lineRule="auto"/>
        <w:ind w:left="420" w:leftChars="200"/>
        <w:rPr>
          <w:rFonts w:ascii="宋体" w:hAnsi="宋体"/>
        </w:rPr>
      </w:pPr>
      <w:r>
        <w:rPr>
          <w:rFonts w:hint="eastAsia" w:ascii="宋体" w:hAnsi="宋体"/>
        </w:rPr>
        <w:t>11.1．随机提供设备操作说明书及维护所需的机械、电气技术图纸资料（电子版1份和纸质版2份）。</w:t>
      </w:r>
    </w:p>
    <w:p>
      <w:pPr>
        <w:spacing w:line="360" w:lineRule="auto"/>
        <w:ind w:firstLine="420" w:firstLineChars="200"/>
        <w:rPr>
          <w:rFonts w:ascii="宋体" w:hAnsi="宋体"/>
        </w:rPr>
      </w:pPr>
      <w:r>
        <w:rPr>
          <w:rFonts w:hint="eastAsia" w:ascii="宋体" w:hAnsi="宋体"/>
        </w:rPr>
        <w:t>11.2.提供各易损件和外购件、密封件的清单及图纸（包括型号，生产厂家）。</w:t>
      </w:r>
    </w:p>
    <w:p>
      <w:pPr>
        <w:spacing w:line="360" w:lineRule="auto"/>
        <w:ind w:firstLine="420" w:firstLineChars="200"/>
        <w:rPr>
          <w:rFonts w:ascii="宋体" w:hAnsi="宋体"/>
        </w:rPr>
      </w:pPr>
      <w:r>
        <w:rPr>
          <w:rFonts w:hint="eastAsia" w:ascii="宋体" w:hAnsi="宋体"/>
        </w:rPr>
        <w:t>11.3．提供操作、维护人员的技术培训。</w:t>
      </w:r>
    </w:p>
    <w:p>
      <w:pPr>
        <w:spacing w:line="360" w:lineRule="auto"/>
        <w:ind w:firstLine="422" w:firstLineChars="200"/>
        <w:rPr>
          <w:rFonts w:ascii="宋体" w:hAnsi="宋体"/>
          <w:b/>
        </w:rPr>
      </w:pPr>
      <w:r>
        <w:rPr>
          <w:rFonts w:hint="eastAsia" w:ascii="宋体" w:hAnsi="宋体"/>
          <w:b/>
        </w:rPr>
        <w:t>12.安全、环保要求：</w:t>
      </w:r>
    </w:p>
    <w:p>
      <w:pPr>
        <w:spacing w:line="360" w:lineRule="auto"/>
        <w:ind w:firstLine="420" w:firstLineChars="200"/>
        <w:rPr>
          <w:rFonts w:ascii="宋体" w:hAnsi="宋体"/>
        </w:rPr>
      </w:pPr>
      <w:r>
        <w:rPr>
          <w:rFonts w:hint="eastAsia" w:ascii="宋体" w:hAnsi="宋体"/>
        </w:rPr>
        <w:t>12.1．供方所提供的设备要符合环保要求。</w:t>
      </w:r>
    </w:p>
    <w:p>
      <w:pPr>
        <w:spacing w:line="360" w:lineRule="auto"/>
        <w:ind w:firstLine="480"/>
        <w:rPr>
          <w:rFonts w:ascii="宋体" w:hAnsi="宋体"/>
        </w:rPr>
      </w:pPr>
      <w:r>
        <w:rPr>
          <w:rFonts w:hint="eastAsia" w:ascii="宋体" w:hAnsi="宋体"/>
        </w:rPr>
        <w:t>12.2．供方所提供的设备要符合安全标准要求。</w:t>
      </w:r>
    </w:p>
    <w:p>
      <w:pPr>
        <w:spacing w:line="360" w:lineRule="auto"/>
        <w:ind w:firstLine="480"/>
        <w:rPr>
          <w:rFonts w:ascii="宋体" w:hAnsi="宋体"/>
        </w:rPr>
      </w:pPr>
      <w:r>
        <w:rPr>
          <w:rFonts w:hint="eastAsia" w:ascii="宋体" w:hAnsi="宋体"/>
        </w:rPr>
        <w:t>12.3. 所用电机应符合国家工信部发布的最新能耗标准。</w:t>
      </w:r>
    </w:p>
    <w:p>
      <w:pPr>
        <w:spacing w:line="360" w:lineRule="auto"/>
        <w:ind w:firstLine="413" w:firstLineChars="196"/>
        <w:rPr>
          <w:rFonts w:ascii="宋体" w:hAnsi="宋体"/>
        </w:rPr>
      </w:pPr>
      <w:r>
        <w:rPr>
          <w:rFonts w:hint="eastAsia" w:ascii="宋体" w:hAnsi="宋体"/>
          <w:b/>
        </w:rPr>
        <w:t>13.包装运输</w:t>
      </w:r>
    </w:p>
    <w:p>
      <w:pPr>
        <w:spacing w:line="360" w:lineRule="auto"/>
        <w:ind w:firstLine="510" w:firstLineChars="196"/>
        <w:rPr>
          <w:rFonts w:ascii="宋体" w:hAnsi="宋体"/>
          <w:b/>
        </w:rPr>
      </w:pPr>
      <w:r>
        <w:rPr>
          <w:rFonts w:hint="eastAsia" w:ascii="宋体" w:hAnsi="宋体"/>
          <w:sz w:val="26"/>
          <w:szCs w:val="28"/>
        </w:rPr>
        <w:t>供方负责包装运输及卸货。</w:t>
      </w:r>
    </w:p>
    <w:p>
      <w:pPr>
        <w:widowControl/>
        <w:spacing w:line="360" w:lineRule="auto"/>
        <w:jc w:val="left"/>
        <w:rPr>
          <w:sz w:val="24"/>
          <w:szCs w:val="24"/>
        </w:rPr>
      </w:pPr>
      <w:r>
        <w:rPr>
          <w:rFonts w:hint="eastAsia"/>
          <w:sz w:val="24"/>
          <w:szCs w:val="24"/>
        </w:rPr>
        <w:drawing>
          <wp:inline distT="0" distB="0" distL="0" distR="0">
            <wp:extent cx="7188835" cy="5309870"/>
            <wp:effectExtent l="0" t="933450" r="0" b="919022"/>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srcRect/>
                    <a:stretch>
                      <a:fillRect/>
                    </a:stretch>
                  </pic:blipFill>
                  <pic:spPr>
                    <a:xfrm rot="16200000">
                      <a:off x="0" y="0"/>
                      <a:ext cx="7252088" cy="5356707"/>
                    </a:xfrm>
                    <a:prstGeom prst="rect">
                      <a:avLst/>
                    </a:prstGeom>
                    <a:noFill/>
                    <a:ln w="9525">
                      <a:noFill/>
                      <a:miter lim="800000"/>
                      <a:headEnd/>
                      <a:tailEnd/>
                    </a:ln>
                  </pic:spPr>
                </pic:pic>
              </a:graphicData>
            </a:graphic>
          </wp:inline>
        </w:drawing>
      </w:r>
    </w:p>
    <w:p>
      <w:pPr>
        <w:widowControl/>
        <w:spacing w:line="440" w:lineRule="exact"/>
        <w:jc w:val="left"/>
        <w:rPr>
          <w:rFonts w:ascii="仿宋" w:hAnsi="仿宋" w:eastAsia="仿宋" w:cs="仿宋"/>
          <w:kern w:val="0"/>
          <w:sz w:val="32"/>
          <w:szCs w:val="32"/>
        </w:rPr>
      </w:pPr>
      <w:r>
        <w:rPr>
          <w:rFonts w:ascii="仿宋" w:hAnsi="仿宋" w:eastAsia="仿宋" w:cs="仿宋"/>
          <w:kern w:val="0"/>
          <w:sz w:val="32"/>
          <w:szCs w:val="32"/>
        </w:rPr>
        <w:drawing>
          <wp:inline distT="0" distB="0" distL="0" distR="0">
            <wp:extent cx="5590540" cy="376174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srcRect/>
                    <a:stretch>
                      <a:fillRect/>
                    </a:stretch>
                  </pic:blipFill>
                  <pic:spPr>
                    <a:xfrm>
                      <a:off x="0" y="0"/>
                      <a:ext cx="5590540" cy="3761740"/>
                    </a:xfrm>
                    <a:prstGeom prst="rect">
                      <a:avLst/>
                    </a:prstGeom>
                    <a:noFill/>
                    <a:ln w="9525">
                      <a:noFill/>
                      <a:miter lim="800000"/>
                      <a:headEnd/>
                      <a:tailEnd/>
                    </a:ln>
                  </pic:spPr>
                </pic:pic>
              </a:graphicData>
            </a:graphic>
          </wp:inline>
        </w:drawing>
      </w:r>
    </w:p>
    <w:p>
      <w:pPr/>
    </w:p>
    <w:p>
      <w:pPr/>
    </w:p>
    <w:p>
      <w:pPr/>
    </w:p>
    <w:p>
      <w:pPr/>
    </w:p>
    <w:p>
      <w:pPr/>
    </w:p>
    <w:p>
      <w:pPr/>
    </w:p>
    <w:p>
      <w:pPr/>
    </w:p>
    <w:p>
      <w:pPr>
        <w:pStyle w:val="8"/>
        <w:wordWrap w:val="0"/>
        <w:ind w:left="0" w:leftChars="0" w:right="560"/>
      </w:pPr>
      <w:r>
        <w:rPr>
          <w:rFonts w:hint="eastAsia" w:cs="宋体"/>
        </w:rPr>
        <w:t>报价函附件</w:t>
      </w:r>
      <w:r>
        <w:rPr>
          <w:rFonts w:hint="eastAsia"/>
        </w:rPr>
        <w:t>2</w:t>
      </w:r>
    </w:p>
    <w:p>
      <w:pPr>
        <w:pStyle w:val="7"/>
        <w:jc w:val="center"/>
        <w:rPr>
          <w:rFonts w:ascii="黑体" w:eastAsia="黑体" w:cs="Times New Roman"/>
          <w:sz w:val="44"/>
          <w:szCs w:val="44"/>
        </w:rPr>
      </w:pPr>
      <w:r>
        <w:rPr>
          <w:rFonts w:hint="eastAsia" w:ascii="黑体" w:eastAsia="黑体" w:cs="黑体"/>
          <w:sz w:val="44"/>
          <w:szCs w:val="44"/>
        </w:rPr>
        <w:t>报价书</w:t>
      </w:r>
    </w:p>
    <w:p>
      <w:pPr>
        <w:pStyle w:val="7"/>
        <w:rPr>
          <w:rFonts w:cs="Times New Roman"/>
          <w:sz w:val="28"/>
          <w:szCs w:val="28"/>
        </w:rPr>
      </w:pPr>
      <w:r>
        <w:rPr>
          <w:rFonts w:hint="eastAsia"/>
          <w:sz w:val="28"/>
          <w:szCs w:val="28"/>
        </w:rPr>
        <w:t>重庆大江杰信锻造有限公司：</w:t>
      </w:r>
    </w:p>
    <w:p>
      <w:pPr>
        <w:pStyle w:val="7"/>
        <w:ind w:firstLine="560" w:firstLineChars="200"/>
        <w:rPr>
          <w:rFonts w:cs="Times New Roman"/>
          <w:sz w:val="28"/>
          <w:szCs w:val="28"/>
        </w:rPr>
      </w:pPr>
      <w:r>
        <w:rPr>
          <w:rFonts w:hint="eastAsia"/>
          <w:sz w:val="28"/>
          <w:szCs w:val="28"/>
        </w:rPr>
        <w:t>我单位全面研究了重庆大江杰信锻造有限公司</w:t>
      </w:r>
      <w:r>
        <w:rPr>
          <w:rFonts w:hint="eastAsia"/>
          <w:sz w:val="28"/>
          <w:szCs w:val="28"/>
          <w:u w:val="single"/>
        </w:rPr>
        <w:t>801B跨6300T中频炉上料机改造项目</w:t>
      </w:r>
      <w:r>
        <w:rPr>
          <w:rFonts w:hint="eastAsia"/>
          <w:sz w:val="28"/>
          <w:szCs w:val="28"/>
        </w:rPr>
        <w:t>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10" w:name="Zws"/>
      <w:bookmarkEnd w:id="10"/>
      <w:r>
        <w:rPr>
          <w:sz w:val="28"/>
          <w:szCs w:val="28"/>
        </w:rPr>
        <w:t>1</w:t>
      </w:r>
      <w:r>
        <w:rPr>
          <w:rFonts w:hint="eastAsia"/>
          <w:sz w:val="28"/>
          <w:szCs w:val="28"/>
        </w:rPr>
        <w:t>份，副本</w:t>
      </w:r>
      <w:bookmarkStart w:id="11" w:name="fws"/>
      <w:bookmarkEnd w:id="11"/>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rFonts w:hint="eastAsia"/>
          <w:sz w:val="28"/>
          <w:szCs w:val="28"/>
        </w:rPr>
        <w:t>如果我单位签约，我们完全同意邀请单位确定的设备改造价格、结算和付款方式，同意将我单位的承诺报价及所有内容做为结算的依据。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rPr>
          <w:rFonts w:ascii="黑体" w:eastAsia="黑体" w:cs="黑体"/>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          元.</w:t>
      </w:r>
    </w:p>
    <w:p>
      <w:pPr>
        <w:pStyle w:val="7"/>
        <w:ind w:firstLine="140" w:firstLineChars="50"/>
        <w:rPr>
          <w:rFonts w:ascii="黑体" w:eastAsia="黑体" w:cs="Times New Roman"/>
          <w:sz w:val="28"/>
          <w:szCs w:val="28"/>
        </w:rPr>
      </w:pPr>
      <w:r>
        <w:rPr>
          <w:rFonts w:hint="eastAsia" w:ascii="黑体" w:eastAsia="黑体" w:cs="黑体"/>
          <w:sz w:val="28"/>
          <w:szCs w:val="28"/>
        </w:rPr>
        <w:t>（大写：                                     ）</w:t>
      </w:r>
    </w:p>
    <w:p>
      <w:pPr>
        <w:pStyle w:val="7"/>
        <w:rPr>
          <w:rFonts w:ascii="黑体" w:eastAsia="黑体" w:cs="Times New Roman"/>
          <w:sz w:val="28"/>
          <w:szCs w:val="28"/>
        </w:rPr>
      </w:pPr>
      <w:r>
        <w:rPr>
          <w:rFonts w:hint="eastAsia" w:ascii="黑体" w:eastAsia="黑体" w:cs="黑体"/>
          <w:sz w:val="28"/>
          <w:szCs w:val="28"/>
        </w:rPr>
        <w:t xml:space="preserve">分项报价：  </w:t>
      </w:r>
      <w:r>
        <w:rPr>
          <w:rFonts w:ascii="黑体" w:eastAsia="黑体" w:cs="黑体"/>
          <w:sz w:val="28"/>
          <w:szCs w:val="28"/>
        </w:rPr>
        <w:t>1</w:t>
      </w:r>
      <w:r>
        <w:rPr>
          <w:rFonts w:hint="eastAsia" w:ascii="黑体" w:eastAsia="黑体" w:cs="黑体"/>
          <w:sz w:val="28"/>
          <w:szCs w:val="28"/>
        </w:rPr>
        <w:t>、              元。</w:t>
      </w:r>
    </w:p>
    <w:p>
      <w:pPr>
        <w:pStyle w:val="7"/>
        <w:rPr>
          <w:rFonts w:ascii="黑体" w:eastAsia="黑体" w:cs="Times New Roman"/>
          <w:sz w:val="28"/>
          <w:szCs w:val="28"/>
        </w:rPr>
      </w:pPr>
      <w:r>
        <w:rPr>
          <w:rFonts w:ascii="黑体" w:eastAsia="黑体" w:cs="黑体"/>
          <w:sz w:val="28"/>
          <w:szCs w:val="28"/>
        </w:rPr>
        <w:t xml:space="preserve">         </w:t>
      </w:r>
      <w:r>
        <w:rPr>
          <w:rFonts w:hint="eastAsia" w:ascii="黑体" w:eastAsia="黑体" w:cs="黑体"/>
          <w:sz w:val="28"/>
          <w:szCs w:val="28"/>
        </w:rPr>
        <w:t xml:space="preserve">  </w:t>
      </w:r>
      <w:r>
        <w:rPr>
          <w:rFonts w:ascii="黑体" w:eastAsia="黑体" w:cs="黑体"/>
          <w:sz w:val="28"/>
          <w:szCs w:val="28"/>
        </w:rPr>
        <w:t xml:space="preserve"> 2</w:t>
      </w:r>
      <w:r>
        <w:rPr>
          <w:rFonts w:hint="eastAsia" w:ascii="黑体" w:eastAsia="黑体" w:cs="黑体"/>
          <w:sz w:val="28"/>
          <w:szCs w:val="28"/>
        </w:rPr>
        <w:t>、              元。</w:t>
      </w:r>
    </w:p>
    <w:p>
      <w:pPr>
        <w:pStyle w:val="7"/>
        <w:rPr>
          <w:rFonts w:ascii="黑体" w:eastAsia="黑体" w:cs="Times New Roman"/>
          <w:sz w:val="28"/>
          <w:szCs w:val="28"/>
        </w:rPr>
      </w:pPr>
      <w:r>
        <w:rPr>
          <w:rFonts w:ascii="黑体" w:eastAsia="黑体" w:cs="黑体"/>
          <w:sz w:val="28"/>
          <w:szCs w:val="28"/>
        </w:rPr>
        <w:t xml:space="preserve">          </w:t>
      </w:r>
    </w:p>
    <w:p>
      <w:pPr>
        <w:pStyle w:val="7"/>
        <w:jc w:val="center"/>
        <w:rPr>
          <w:sz w:val="28"/>
          <w:szCs w:val="28"/>
        </w:rPr>
      </w:pPr>
      <w:r>
        <w:rPr>
          <w:rFonts w:hint="eastAsia"/>
          <w:sz w:val="28"/>
          <w:szCs w:val="28"/>
        </w:rPr>
        <w:t>（设备分项报价及工程费的计算方法和金额分项报价请另外附页）</w:t>
      </w:r>
    </w:p>
    <w:p>
      <w:pPr>
        <w:pStyle w:val="7"/>
        <w:jc w:val="center"/>
        <w:rPr>
          <w:rFonts w:ascii="仿宋" w:hAnsi="仿宋" w:eastAsia="仿宋" w:cs="仿宋"/>
          <w:b/>
          <w:bCs/>
          <w:sz w:val="44"/>
          <w:szCs w:val="44"/>
        </w:rPr>
      </w:pPr>
      <w:r>
        <w:rPr>
          <w:rFonts w:hint="eastAsia" w:ascii="仿宋" w:hAnsi="仿宋" w:eastAsia="仿宋" w:cs="仿宋"/>
          <w:b/>
          <w:bCs/>
          <w:sz w:val="44"/>
          <w:szCs w:val="44"/>
        </w:rPr>
        <w:t>合同签订后设备到场及安装调试完成时间为：</w:t>
      </w:r>
    </w:p>
    <w:p>
      <w:pPr>
        <w:pStyle w:val="7"/>
        <w:jc w:val="center"/>
        <w:rPr>
          <w:rFonts w:cs="Times New Roman"/>
          <w:sz w:val="44"/>
          <w:szCs w:val="44"/>
        </w:rPr>
      </w:pPr>
      <w:r>
        <w:rPr>
          <w:rFonts w:hint="eastAsia" w:ascii="仿宋" w:hAnsi="仿宋" w:eastAsia="仿宋" w:cs="仿宋"/>
          <w:b/>
          <w:bCs/>
          <w:sz w:val="44"/>
          <w:szCs w:val="44"/>
        </w:rPr>
        <w:t>2022年1月31日--2022年2月1日</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日期：</w:t>
      </w:r>
    </w:p>
    <w:p>
      <w:pPr>
        <w:pStyle w:val="7"/>
        <w:rPr>
          <w:sz w:val="28"/>
          <w:szCs w:val="28"/>
        </w:rPr>
      </w:pPr>
      <w:r>
        <w:rPr>
          <w:rFonts w:cs="Times New Roman"/>
          <w:sz w:val="28"/>
          <w:szCs w:val="28"/>
        </w:rPr>
        <w:br w:type="page"/>
      </w:r>
      <w:r>
        <w:rPr>
          <w:rFonts w:hint="eastAsia"/>
          <w:sz w:val="28"/>
          <w:szCs w:val="28"/>
        </w:rPr>
        <w:t>报价函附件3</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rFonts w:hint="eastAsia"/>
          <w:sz w:val="28"/>
          <w:szCs w:val="28"/>
          <w:u w:val="single"/>
        </w:rPr>
        <w:t xml:space="preserve">                              （</w:t>
      </w:r>
      <w:r>
        <w:rPr>
          <w:rFonts w:hint="eastAsia"/>
          <w:sz w:val="28"/>
          <w:szCs w:val="28"/>
        </w:rPr>
        <w:t>公司名称）对贵公司</w:t>
      </w:r>
    </w:p>
    <w:p>
      <w:pPr>
        <w:pStyle w:val="7"/>
        <w:rPr>
          <w:rFonts w:cs="Times New Roman"/>
          <w:sz w:val="28"/>
          <w:szCs w:val="28"/>
          <w:u w:val="single"/>
        </w:rPr>
      </w:pPr>
      <w:r>
        <w:rPr>
          <w:rFonts w:hint="eastAsia"/>
          <w:sz w:val="28"/>
          <w:szCs w:val="28"/>
        </w:rPr>
        <w:t>801B跨6300T中频炉上料机改造比价定源项目进行报价，我公司法定地址：</w:t>
      </w:r>
      <w:r>
        <w:rPr>
          <w:rFonts w:hint="eastAsia"/>
          <w:sz w:val="28"/>
          <w:szCs w:val="28"/>
          <w:u w:val="single"/>
        </w:rPr>
        <w:t xml:space="preserve">                          </w:t>
      </w:r>
      <w:r>
        <w:rPr>
          <w:rFonts w:hint="eastAsia"/>
          <w:sz w:val="28"/>
          <w:szCs w:val="28"/>
        </w:rPr>
        <w:t>；法定代表人：</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，职务：</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rFonts w:hint="eastAsia"/>
          <w:sz w:val="28"/>
          <w:szCs w:val="28"/>
          <w:u w:val="single"/>
        </w:rPr>
        <w:t xml:space="preserve">                                </w:t>
      </w:r>
      <w:r>
        <w:rPr>
          <w:rFonts w:hint="eastAsia"/>
          <w:sz w:val="28"/>
          <w:szCs w:val="28"/>
        </w:rPr>
        <w:t>（公司名称）授权委托</w:t>
      </w:r>
    </w:p>
    <w:p>
      <w:pPr>
        <w:pStyle w:val="7"/>
        <w:rPr>
          <w:rFonts w:cs="Times New Roman"/>
          <w:sz w:val="28"/>
          <w:szCs w:val="28"/>
        </w:rPr>
      </w:pPr>
      <w:r>
        <w:rPr>
          <w:rFonts w:hint="eastAsia"/>
          <w:sz w:val="28"/>
          <w:szCs w:val="28"/>
        </w:rPr>
        <w:t>公司</w:t>
      </w:r>
      <w:r>
        <w:rPr>
          <w:rFonts w:hint="eastAsia"/>
          <w:sz w:val="28"/>
          <w:szCs w:val="28"/>
          <w:u w:val="single"/>
        </w:rPr>
        <w:t xml:space="preserve">            （</w:t>
      </w:r>
      <w:r>
        <w:rPr>
          <w:rFonts w:hint="eastAsia"/>
          <w:sz w:val="28"/>
          <w:szCs w:val="28"/>
        </w:rPr>
        <w:t>姓名）（身份证号码</w:t>
      </w:r>
      <w:r>
        <w:rPr>
          <w:rFonts w:hint="eastAsia"/>
          <w:sz w:val="28"/>
          <w:szCs w:val="28"/>
          <w:u w:val="single"/>
        </w:rPr>
        <w:t xml:space="preserve">                      </w:t>
      </w:r>
      <w:r>
        <w:rPr>
          <w:rFonts w:hint="eastAsia"/>
          <w:sz w:val="28"/>
          <w:szCs w:val="28"/>
        </w:rPr>
        <w:t>）代表我公司全权处理项目的比价定源、合同洽谈、签定及协调处理现场设备安装、调试、验收等相关一切事项，并对其处理的相关事项的一切后果负责。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日期：      年     月   日</w:t>
      </w:r>
    </w:p>
    <w:p>
      <w:pPr>
        <w:rPr>
          <w:b/>
          <w:bCs/>
        </w:rPr>
      </w:pPr>
      <w:bookmarkStart w:id="12" w:name="id4"/>
      <w:bookmarkEnd w:id="12"/>
    </w:p>
    <w:tbl>
      <w:tblPr>
        <w:tblStyle w:val="18"/>
        <w:tblpPr w:leftFromText="180" w:rightFromText="180" w:vertAnchor="text" w:horzAnchor="margin" w:tblpY="668"/>
        <w:tblOverlap w:val="never"/>
        <w:tblW w:w="90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0"/>
        <w:gridCol w:w="4894"/>
        <w:gridCol w:w="2155"/>
        <w:gridCol w:w="1134"/>
        <w:gridCol w:w="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3" w:hRule="atLeast"/>
        </w:trPr>
        <w:tc>
          <w:tcPr>
            <w:tcW w:w="430" w:type="dxa"/>
          </w:tcPr>
          <w:p>
            <w:pPr>
              <w:pStyle w:val="8"/>
              <w:ind w:left="0" w:leftChars="0"/>
              <w:rPr>
                <w:rFonts w:ascii="仿宋_GB2312" w:eastAsia="仿宋_GB2312" w:cs="宋体"/>
              </w:rPr>
            </w:pPr>
            <w:r>
              <w:rPr>
                <w:rFonts w:hint="eastAsia" w:ascii="仿宋_GB2312" w:eastAsia="仿宋_GB2312" w:cs="宋体"/>
              </w:rPr>
              <w:t>序号</w:t>
            </w:r>
          </w:p>
        </w:tc>
        <w:tc>
          <w:tcPr>
            <w:tcW w:w="4894" w:type="dxa"/>
            <w:vAlign w:val="center"/>
          </w:tcPr>
          <w:p>
            <w:pPr>
              <w:pStyle w:val="8"/>
              <w:ind w:left="0" w:leftChars="0"/>
              <w:jc w:val="center"/>
              <w:rPr>
                <w:rFonts w:ascii="仿宋_GB2312" w:eastAsia="仿宋_GB2312" w:cs="宋体"/>
              </w:rPr>
            </w:pPr>
            <w:r>
              <w:rPr>
                <w:rFonts w:hint="eastAsia" w:ascii="仿宋_GB2312" w:eastAsia="仿宋_GB2312" w:cs="宋体"/>
              </w:rPr>
              <w:t>报交资料名称、要求</w:t>
            </w:r>
          </w:p>
        </w:tc>
        <w:tc>
          <w:tcPr>
            <w:tcW w:w="2155" w:type="dxa"/>
            <w:vAlign w:val="center"/>
          </w:tcPr>
          <w:p>
            <w:pPr>
              <w:pStyle w:val="8"/>
              <w:ind w:left="0" w:leftChars="0"/>
              <w:jc w:val="center"/>
              <w:rPr>
                <w:rFonts w:ascii="仿宋_GB2312" w:eastAsia="仿宋_GB2312" w:cs="宋体"/>
              </w:rPr>
            </w:pPr>
            <w:r>
              <w:rPr>
                <w:rFonts w:hint="eastAsia" w:ascii="仿宋" w:hAnsi="仿宋" w:eastAsia="仿宋" w:cs="宋体"/>
              </w:rPr>
              <w:t>标注：（√）、（</w:t>
            </w:r>
            <w:r>
              <w:rPr>
                <w:rFonts w:ascii="Arial" w:hAnsi="Arial" w:eastAsia="仿宋" w:cs="Arial"/>
              </w:rPr>
              <w:t>×</w:t>
            </w:r>
            <w:r>
              <w:rPr>
                <w:rFonts w:hint="eastAsia" w:ascii="仿宋" w:hAnsi="仿宋" w:eastAsia="仿宋" w:cs="宋体"/>
              </w:rPr>
              <w:t>）</w:t>
            </w:r>
          </w:p>
        </w:tc>
        <w:tc>
          <w:tcPr>
            <w:tcW w:w="1134" w:type="dxa"/>
            <w:vAlign w:val="center"/>
          </w:tcPr>
          <w:p>
            <w:pPr>
              <w:pStyle w:val="8"/>
              <w:ind w:left="0" w:leftChars="0"/>
              <w:jc w:val="center"/>
              <w:rPr>
                <w:rFonts w:ascii="仿宋_GB2312" w:eastAsia="仿宋_GB2312" w:cs="宋体"/>
              </w:rPr>
            </w:pPr>
            <w:r>
              <w:rPr>
                <w:rFonts w:hint="eastAsia" w:ascii="仿宋_GB2312" w:eastAsia="仿宋_GB2312" w:cs="宋体"/>
              </w:rPr>
              <w:t>报交资料数量</w:t>
            </w:r>
          </w:p>
        </w:tc>
        <w:tc>
          <w:tcPr>
            <w:tcW w:w="479" w:type="dxa"/>
            <w:vAlign w:val="center"/>
          </w:tcPr>
          <w:p>
            <w:pPr>
              <w:pStyle w:val="8"/>
              <w:ind w:left="0" w:leftChars="0"/>
              <w:jc w:val="center"/>
              <w:rPr>
                <w:rFonts w:ascii="仿宋_GB2312" w:eastAsia="仿宋_GB2312" w:cs="宋体"/>
              </w:rPr>
            </w:pPr>
            <w:r>
              <w:rPr>
                <w:rFonts w:hint="eastAsia" w:ascii="仿宋_GB2312" w:eastAsia="仿宋_GB2312" w:cs="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1</w:t>
            </w:r>
          </w:p>
        </w:tc>
        <w:tc>
          <w:tcPr>
            <w:tcW w:w="4894"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报价资料</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2</w:t>
            </w:r>
          </w:p>
        </w:tc>
        <w:tc>
          <w:tcPr>
            <w:tcW w:w="4894" w:type="dxa"/>
            <w:vAlign w:val="center"/>
          </w:tcPr>
          <w:p>
            <w:pPr>
              <w:pStyle w:val="8"/>
              <w:ind w:left="0" w:leftChars="0"/>
              <w:jc w:val="left"/>
              <w:rPr>
                <w:rFonts w:ascii="仿宋" w:hAnsi="仿宋" w:eastAsia="仿宋" w:cs="仿宋"/>
                <w:sz w:val="24"/>
              </w:rPr>
            </w:pPr>
            <w:r>
              <w:rPr>
                <w:rFonts w:hint="eastAsia" w:ascii="仿宋" w:hAnsi="仿宋" w:eastAsia="仿宋" w:cs="仿宋"/>
                <w:sz w:val="24"/>
              </w:rPr>
              <w:t>一般纳税人资格证明、企业法人营业执照等复印件(加盖公章）</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3</w:t>
            </w:r>
          </w:p>
        </w:tc>
        <w:tc>
          <w:tcPr>
            <w:tcW w:w="4894"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法人代表授权委托书原件（签字并加盖公章）</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4</w:t>
            </w:r>
          </w:p>
        </w:tc>
        <w:tc>
          <w:tcPr>
            <w:tcW w:w="4894" w:type="dxa"/>
            <w:vAlign w:val="center"/>
          </w:tcPr>
          <w:p>
            <w:pPr>
              <w:pStyle w:val="8"/>
              <w:ind w:left="0" w:leftChars="0"/>
              <w:jc w:val="left"/>
              <w:rPr>
                <w:rFonts w:ascii="仿宋" w:hAnsi="仿宋" w:eastAsia="仿宋" w:cs="仿宋"/>
                <w:sz w:val="24"/>
              </w:rPr>
            </w:pPr>
            <w:r>
              <w:rPr>
                <w:rFonts w:hint="eastAsia" w:ascii="仿宋" w:hAnsi="仿宋" w:eastAsia="仿宋" w:cs="仿宋"/>
                <w:sz w:val="24"/>
              </w:rPr>
              <w:t>涉及安全、环保物资的须提交《许可经销委托证书》复印件(加盖公章）（原件备查）</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5</w:t>
            </w:r>
          </w:p>
        </w:tc>
        <w:tc>
          <w:tcPr>
            <w:tcW w:w="4894"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缴纳参选保证金的《银行回单》复印件</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430" w:type="dxa"/>
            <w:vAlign w:val="center"/>
          </w:tcPr>
          <w:p>
            <w:pPr>
              <w:pStyle w:val="8"/>
              <w:ind w:left="0" w:leftChars="0"/>
              <w:jc w:val="center"/>
              <w:rPr>
                <w:rFonts w:ascii="仿宋" w:hAnsi="仿宋" w:eastAsia="仿宋" w:cs="仿宋"/>
                <w:sz w:val="24"/>
              </w:rPr>
            </w:pPr>
            <w:r>
              <w:rPr>
                <w:rFonts w:hint="eastAsia" w:ascii="仿宋" w:hAnsi="仿宋" w:eastAsia="仿宋" w:cs="仿宋"/>
                <w:sz w:val="24"/>
              </w:rPr>
              <w:t>6</w:t>
            </w:r>
          </w:p>
        </w:tc>
        <w:tc>
          <w:tcPr>
            <w:tcW w:w="4894" w:type="dxa"/>
            <w:vAlign w:val="center"/>
          </w:tcPr>
          <w:p>
            <w:pPr>
              <w:pStyle w:val="8"/>
              <w:ind w:left="0" w:leftChars="0"/>
              <w:jc w:val="left"/>
              <w:rPr>
                <w:rFonts w:ascii="仿宋" w:hAnsi="仿宋" w:eastAsia="仿宋" w:cs="仿宋"/>
                <w:sz w:val="24"/>
              </w:rPr>
            </w:pPr>
            <w:r>
              <w:rPr>
                <w:rFonts w:hint="eastAsia" w:ascii="仿宋" w:hAnsi="仿宋" w:eastAsia="仿宋" w:cs="仿宋"/>
                <w:sz w:val="24"/>
              </w:rPr>
              <w:t>注明单位全称、地址、开户银行、账号、联系人及联系方式的其它证明资料</w:t>
            </w:r>
          </w:p>
        </w:tc>
        <w:tc>
          <w:tcPr>
            <w:tcW w:w="2155" w:type="dxa"/>
            <w:vAlign w:val="center"/>
          </w:tcPr>
          <w:p>
            <w:pPr>
              <w:pStyle w:val="8"/>
              <w:ind w:left="0" w:leftChars="0"/>
              <w:jc w:val="center"/>
              <w:rPr>
                <w:rFonts w:ascii="仿宋_GB2312" w:eastAsia="仿宋_GB2312" w:cs="宋体"/>
              </w:rPr>
            </w:pPr>
          </w:p>
        </w:tc>
        <w:tc>
          <w:tcPr>
            <w:tcW w:w="1134" w:type="dxa"/>
            <w:vAlign w:val="center"/>
          </w:tcPr>
          <w:p>
            <w:pPr>
              <w:pStyle w:val="8"/>
              <w:ind w:left="0" w:leftChars="0"/>
              <w:jc w:val="center"/>
              <w:rPr>
                <w:rFonts w:ascii="仿宋_GB2312" w:eastAsia="仿宋_GB2312" w:cs="宋体"/>
              </w:rPr>
            </w:pPr>
          </w:p>
        </w:tc>
        <w:tc>
          <w:tcPr>
            <w:tcW w:w="479" w:type="dxa"/>
            <w:vAlign w:val="center"/>
          </w:tcPr>
          <w:p>
            <w:pPr>
              <w:pStyle w:val="8"/>
              <w:ind w:left="0" w:leftChars="0"/>
              <w:jc w:val="center"/>
              <w:rPr>
                <w:rFonts w:ascii="仿宋_GB2312" w:eastAsia="仿宋_GB2312" w:cs="宋体"/>
              </w:rPr>
            </w:pPr>
          </w:p>
        </w:tc>
      </w:tr>
    </w:tbl>
    <w:p>
      <w:pPr>
        <w:rPr>
          <w:sz w:val="28"/>
          <w:szCs w:val="28"/>
        </w:rPr>
      </w:pPr>
    </w:p>
    <w:p>
      <w:pPr>
        <w:pStyle w:val="8"/>
        <w:wordWrap w:val="0"/>
        <w:ind w:left="0" w:leftChars="0" w:right="560"/>
      </w:pPr>
    </w:p>
    <w:sectPr>
      <w:headerReference r:id="rId3" w:type="default"/>
      <w:footerReference r:id="rId4"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Bookman Old Style">
    <w:panose1 w:val="02050604050505020204"/>
    <w:charset w:val="00"/>
    <w:family w:val="modern"/>
    <w:pitch w:val="default"/>
    <w:sig w:usb0="00000287" w:usb1="00000000" w:usb2="00000000" w:usb3="00000000" w:csb0="2000009F" w:csb1="DFD7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18</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0000000A"/>
    <w:multiLevelType w:val="singleLevel"/>
    <w:tmpl w:val="0000000A"/>
    <w:lvl w:ilvl="0" w:tentative="1">
      <w:start w:val="5"/>
      <w:numFmt w:val="decimal"/>
      <w:suff w:val="space"/>
      <w:lvlText w:val="%1."/>
      <w:lvlJc w:val="left"/>
    </w:lvl>
  </w:abstractNum>
  <w:num w:numId="1">
    <w:abstractNumId w:val="4"/>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HorizontalSpacing w:val="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290224"/>
    <w:rsid w:val="000330AB"/>
    <w:rsid w:val="000620EB"/>
    <w:rsid w:val="00103199"/>
    <w:rsid w:val="00114741"/>
    <w:rsid w:val="00250D17"/>
    <w:rsid w:val="00290224"/>
    <w:rsid w:val="00372AAF"/>
    <w:rsid w:val="004D46A2"/>
    <w:rsid w:val="00530CF4"/>
    <w:rsid w:val="005D4240"/>
    <w:rsid w:val="005E22E2"/>
    <w:rsid w:val="005F0728"/>
    <w:rsid w:val="00680B5C"/>
    <w:rsid w:val="00717464"/>
    <w:rsid w:val="00751749"/>
    <w:rsid w:val="00761B46"/>
    <w:rsid w:val="008354E0"/>
    <w:rsid w:val="00866F39"/>
    <w:rsid w:val="00904446"/>
    <w:rsid w:val="00964B01"/>
    <w:rsid w:val="00A9597A"/>
    <w:rsid w:val="00B10F74"/>
    <w:rsid w:val="00B17F9A"/>
    <w:rsid w:val="00B32058"/>
    <w:rsid w:val="00BD28C5"/>
    <w:rsid w:val="00CA5B10"/>
    <w:rsid w:val="00D853B2"/>
    <w:rsid w:val="00E13AD7"/>
    <w:rsid w:val="00E76D64"/>
    <w:rsid w:val="00F27335"/>
    <w:rsid w:val="00F6530E"/>
    <w:rsid w:val="00FA76E6"/>
    <w:rsid w:val="00FD3727"/>
    <w:rsid w:val="25FD627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qFormat="1"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numPr>
        <w:ilvl w:val="0"/>
        <w:numId w:val="1"/>
      </w:numPr>
      <w:tabs>
        <w:tab w:val="left" w:pos="720"/>
      </w:tabs>
      <w:spacing w:line="360" w:lineRule="auto"/>
      <w:ind w:firstLine="15"/>
      <w:outlineLvl w:val="0"/>
    </w:pPr>
    <w:rPr>
      <w:sz w:val="28"/>
      <w:szCs w:val="28"/>
    </w:rPr>
  </w:style>
  <w:style w:type="paragraph" w:styleId="3">
    <w:name w:val="heading 2"/>
    <w:basedOn w:val="1"/>
    <w:next w:val="1"/>
    <w:link w:val="25"/>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14">
    <w:name w:val="Default Paragraph Font"/>
    <w:unhideWhenUsed/>
    <w:uiPriority w:val="1"/>
  </w:style>
  <w:style w:type="table" w:default="1" w:styleId="18">
    <w:name w:val="Normal Table"/>
    <w:unhideWhenUsed/>
    <w:uiPriority w:val="99"/>
    <w:tblPr>
      <w:tblLayout w:type="fixed"/>
      <w:tblCellMar>
        <w:top w:w="0" w:type="dxa"/>
        <w:left w:w="108" w:type="dxa"/>
        <w:bottom w:w="0" w:type="dxa"/>
        <w:right w:w="108" w:type="dxa"/>
      </w:tblCellMar>
    </w:tblPr>
  </w:style>
  <w:style w:type="paragraph" w:styleId="5">
    <w:name w:val="Document Map"/>
    <w:basedOn w:val="1"/>
    <w:link w:val="35"/>
    <w:semiHidden/>
    <w:uiPriority w:val="99"/>
    <w:pPr>
      <w:shd w:val="clear" w:color="auto" w:fill="000080"/>
    </w:pPr>
  </w:style>
  <w:style w:type="paragraph" w:styleId="6">
    <w:name w:val="Body Text Indent"/>
    <w:basedOn w:val="1"/>
    <w:link w:val="36"/>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3"/>
    <w:qFormat/>
    <w:uiPriority w:val="99"/>
    <w:rPr>
      <w:rFonts w:ascii="宋体" w:hAnsi="Courier New" w:cs="宋体"/>
    </w:rPr>
  </w:style>
  <w:style w:type="paragraph" w:styleId="8">
    <w:name w:val="Date"/>
    <w:basedOn w:val="1"/>
    <w:next w:val="1"/>
    <w:link w:val="34"/>
    <w:uiPriority w:val="99"/>
    <w:pPr>
      <w:ind w:left="100" w:leftChars="2500"/>
    </w:pPr>
    <w:rPr>
      <w:sz w:val="28"/>
      <w:szCs w:val="28"/>
    </w:rPr>
  </w:style>
  <w:style w:type="paragraph" w:styleId="9">
    <w:name w:val="Balloon Text"/>
    <w:basedOn w:val="1"/>
    <w:link w:val="32"/>
    <w:semiHidden/>
    <w:uiPriority w:val="99"/>
    <w:rPr>
      <w:sz w:val="18"/>
      <w:szCs w:val="18"/>
    </w:rPr>
  </w:style>
  <w:style w:type="paragraph" w:styleId="10">
    <w:name w:val="footer"/>
    <w:basedOn w:val="1"/>
    <w:link w:val="31"/>
    <w:uiPriority w:val="99"/>
    <w:pPr>
      <w:tabs>
        <w:tab w:val="center" w:pos="4153"/>
        <w:tab w:val="right" w:pos="8306"/>
      </w:tabs>
      <w:snapToGrid w:val="0"/>
      <w:jc w:val="left"/>
    </w:pPr>
    <w:rPr>
      <w:sz w:val="18"/>
      <w:szCs w:val="18"/>
    </w:rPr>
  </w:style>
  <w:style w:type="paragraph" w:styleId="11">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style>
  <w:style w:type="character" w:styleId="17">
    <w:name w:val="Hyperlink"/>
    <w:basedOn w:val="14"/>
    <w:uiPriority w:val="99"/>
    <w:rPr>
      <w:color w:val="0000FF"/>
      <w:u w:val="single"/>
    </w:rPr>
  </w:style>
  <w:style w:type="paragraph" w:customStyle="1" w:styleId="19">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
    <w:name w:val="Char Char"/>
    <w:basedOn w:val="1"/>
    <w:uiPriority w:val="99"/>
    <w:rPr>
      <w:rFonts w:ascii="Tahoma" w:hAnsi="Tahoma" w:cs="Tahoma"/>
      <w:sz w:val="24"/>
      <w:szCs w:val="24"/>
    </w:rPr>
  </w:style>
  <w:style w:type="paragraph" w:customStyle="1" w:styleId="21">
    <w:name w:val="Char"/>
    <w:basedOn w:val="1"/>
    <w:qFormat/>
    <w:uiPriority w:val="99"/>
    <w:pPr>
      <w:adjustRightInd w:val="0"/>
      <w:spacing w:line="360" w:lineRule="auto"/>
    </w:pPr>
    <w:rPr>
      <w:kern w:val="0"/>
      <w:sz w:val="24"/>
      <w:szCs w:val="24"/>
    </w:rPr>
  </w:style>
  <w:style w:type="paragraph" w:customStyle="1" w:styleId="22">
    <w:name w:val="List Paragraph1"/>
    <w:basedOn w:val="1"/>
    <w:qFormat/>
    <w:uiPriority w:val="99"/>
    <w:pPr>
      <w:ind w:firstLine="420" w:firstLineChars="200"/>
    </w:pPr>
  </w:style>
  <w:style w:type="paragraph" w:customStyle="1" w:styleId="23">
    <w:name w:val="Default"/>
    <w:qFormat/>
    <w:uiPriority w:val="99"/>
    <w:pPr>
      <w:widowControl w:val="0"/>
      <w:autoSpaceDE w:val="0"/>
      <w:autoSpaceDN w:val="0"/>
      <w:adjustRightInd w:val="0"/>
    </w:pPr>
    <w:rPr>
      <w:rFonts w:ascii="Bookman Old Style" w:hAnsi="Times New Roman" w:eastAsia="Times New Roman" w:cs="Bookman Old Style"/>
      <w:color w:val="000000"/>
      <w:sz w:val="24"/>
      <w:szCs w:val="24"/>
      <w:lang w:val="en-US" w:eastAsia="zh-CN" w:bidi="ar-SA"/>
    </w:rPr>
  </w:style>
  <w:style w:type="character" w:customStyle="1" w:styleId="24">
    <w:name w:val="标题 1 Char"/>
    <w:basedOn w:val="14"/>
    <w:link w:val="2"/>
    <w:locked/>
    <w:uiPriority w:val="99"/>
    <w:rPr>
      <w:b/>
      <w:bCs/>
      <w:kern w:val="44"/>
      <w:sz w:val="44"/>
      <w:szCs w:val="44"/>
    </w:rPr>
  </w:style>
  <w:style w:type="character" w:customStyle="1" w:styleId="25">
    <w:name w:val="标题 2 Char"/>
    <w:basedOn w:val="14"/>
    <w:link w:val="3"/>
    <w:semiHidden/>
    <w:qFormat/>
    <w:locked/>
    <w:uiPriority w:val="99"/>
    <w:rPr>
      <w:rFonts w:ascii="Cambria" w:hAnsi="Cambria" w:eastAsia="宋体" w:cs="Cambria"/>
      <w:b/>
      <w:bCs/>
      <w:sz w:val="32"/>
      <w:szCs w:val="32"/>
    </w:rPr>
  </w:style>
  <w:style w:type="character" w:customStyle="1" w:styleId="26">
    <w:name w:val="标题 3 Char"/>
    <w:basedOn w:val="14"/>
    <w:link w:val="4"/>
    <w:qFormat/>
    <w:locked/>
    <w:uiPriority w:val="99"/>
    <w:rPr>
      <w:rFonts w:eastAsia="宋体"/>
      <w:b/>
      <w:bCs/>
      <w:kern w:val="2"/>
      <w:sz w:val="32"/>
      <w:szCs w:val="32"/>
      <w:lang w:val="en-US" w:eastAsia="zh-CN"/>
    </w:rPr>
  </w:style>
  <w:style w:type="character" w:customStyle="1" w:styleId="27">
    <w:name w:val="医疗商务网www.ylsw.netk9o1j3wksyc6p671dp"/>
    <w:basedOn w:val="14"/>
    <w:qFormat/>
    <w:uiPriority w:val="99"/>
  </w:style>
  <w:style w:type="character" w:customStyle="1" w:styleId="28">
    <w:name w:val="Header Char"/>
    <w:qFormat/>
    <w:locked/>
    <w:uiPriority w:val="99"/>
    <w:rPr>
      <w:kern w:val="2"/>
      <w:sz w:val="18"/>
      <w:szCs w:val="18"/>
    </w:rPr>
  </w:style>
  <w:style w:type="character" w:customStyle="1" w:styleId="29">
    <w:name w:val="para1"/>
    <w:basedOn w:val="14"/>
    <w:uiPriority w:val="99"/>
    <w:rPr>
      <w:rFonts w:ascii="Arial" w:hAnsi="Arial" w:cs="Arial"/>
      <w:sz w:val="18"/>
      <w:szCs w:val="18"/>
    </w:rPr>
  </w:style>
  <w:style w:type="character" w:customStyle="1" w:styleId="30">
    <w:name w:val="页眉 Char"/>
    <w:basedOn w:val="14"/>
    <w:link w:val="11"/>
    <w:semiHidden/>
    <w:qFormat/>
    <w:locked/>
    <w:uiPriority w:val="99"/>
    <w:rPr>
      <w:sz w:val="18"/>
      <w:szCs w:val="18"/>
    </w:rPr>
  </w:style>
  <w:style w:type="character" w:customStyle="1" w:styleId="31">
    <w:name w:val="页脚 Char"/>
    <w:basedOn w:val="14"/>
    <w:link w:val="10"/>
    <w:semiHidden/>
    <w:locked/>
    <w:uiPriority w:val="99"/>
    <w:rPr>
      <w:sz w:val="18"/>
      <w:szCs w:val="18"/>
    </w:rPr>
  </w:style>
  <w:style w:type="character" w:customStyle="1" w:styleId="32">
    <w:name w:val="批注框文本 Char"/>
    <w:basedOn w:val="14"/>
    <w:link w:val="9"/>
    <w:semiHidden/>
    <w:qFormat/>
    <w:locked/>
    <w:uiPriority w:val="99"/>
    <w:rPr>
      <w:sz w:val="2"/>
      <w:szCs w:val="2"/>
    </w:rPr>
  </w:style>
  <w:style w:type="character" w:customStyle="1" w:styleId="33">
    <w:name w:val="纯文本 Char"/>
    <w:basedOn w:val="14"/>
    <w:link w:val="7"/>
    <w:semiHidden/>
    <w:locked/>
    <w:uiPriority w:val="99"/>
    <w:rPr>
      <w:rFonts w:ascii="宋体" w:hAnsi="Courier New" w:cs="宋体"/>
      <w:sz w:val="21"/>
      <w:szCs w:val="21"/>
    </w:rPr>
  </w:style>
  <w:style w:type="character" w:customStyle="1" w:styleId="34">
    <w:name w:val="日期 Char"/>
    <w:basedOn w:val="14"/>
    <w:link w:val="8"/>
    <w:semiHidden/>
    <w:qFormat/>
    <w:locked/>
    <w:uiPriority w:val="99"/>
    <w:rPr>
      <w:sz w:val="21"/>
      <w:szCs w:val="21"/>
    </w:rPr>
  </w:style>
  <w:style w:type="character" w:customStyle="1" w:styleId="35">
    <w:name w:val="文档结构图 Char"/>
    <w:basedOn w:val="14"/>
    <w:link w:val="5"/>
    <w:semiHidden/>
    <w:locked/>
    <w:uiPriority w:val="99"/>
    <w:rPr>
      <w:sz w:val="2"/>
      <w:szCs w:val="2"/>
    </w:rPr>
  </w:style>
  <w:style w:type="character" w:customStyle="1" w:styleId="36">
    <w:name w:val="正文文本缩进 Char"/>
    <w:basedOn w:val="14"/>
    <w:link w:val="6"/>
    <w:qFormat/>
    <w:locked/>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24F6D-C5CB-4872-9D86-9D71877941A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18</Pages>
  <Words>1116</Words>
  <Characters>6367</Characters>
  <Lines>53</Lines>
  <Paragraphs>14</Paragraphs>
  <TotalTime>0</TotalTime>
  <ScaleCrop>false</ScaleCrop>
  <LinksUpToDate>false</LinksUpToDate>
  <CharactersWithSpaces>7469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2021-12-13T03:37:00Z</dcterms:created>
  <dc:creator>888</dc:creator>
  <cp:lastModifiedBy>李桃</cp:lastModifiedBy>
  <cp:lastPrinted>2021-12-13T07:36:00Z</cp:lastPrinted>
  <dcterms:modified xsi:type="dcterms:W3CDTF">2021-12-14T06:14:11Z</dcterms:modified>
  <dc:title>西南交通大学设备采购招标书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