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bookmarkStart w:id="19" w:name="_GoBack"/>
      <w:bookmarkEnd w:id="19"/>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闭式冷却塔</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04</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2020-设备-04比价定源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2020-设备-04比价定源技术文件》，比价定源技术文件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2020-设备-04</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闭式冷却塔采购项目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Cs/>
          <w:sz w:val="32"/>
          <w:szCs w:val="32"/>
          <w:u w:val="single"/>
        </w:rPr>
        <w:t>闭式冷却塔</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见“闭式冷却塔技术文件”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提供产品的零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hint="eastAsia"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时，应在2020年6月30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）为确保比价定源活动的正常进行、合同的正常履行，防止恶意竞争，保障各方的合法权益，报价方应遵循以下报价要求：</w:t>
      </w:r>
    </w:p>
    <w:p>
      <w:pPr>
        <w:ind w:left="960" w:hanging="960" w:hanging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1、</w:t>
      </w:r>
      <w:r>
        <w:rPr>
          <w:rFonts w:hint="eastAsia" w:ascii="仿宋" w:hAnsi="仿宋" w:eastAsia="仿宋" w:cs="仿宋"/>
          <w:sz w:val="32"/>
          <w:szCs w:val="32"/>
          <w:highlight w:val="none"/>
        </w:rPr>
        <w:t xml:space="preserve">需到现场报价的单位，必须严格按照我公司安全管理等相关制度执行，向我公司提交相关资质证书和文件，通过我公司审核后，必须由我公司相关工作人员带入现场。 </w:t>
      </w:r>
    </w:p>
    <w:p>
      <w:pPr>
        <w:ind w:left="-630" w:leftChars="-3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联系人：</w:t>
      </w:r>
      <w:r>
        <w:rPr>
          <w:rFonts w:hint="eastAsia" w:ascii="仿宋" w:hAnsi="仿宋" w:eastAsia="仿宋" w:cs="仿宋"/>
          <w:sz w:val="32"/>
          <w:szCs w:val="32"/>
          <w:highlight w:val="none"/>
          <w:lang w:eastAsia="zh-CN"/>
        </w:rPr>
        <w:t>王先生</w:t>
      </w:r>
    </w:p>
    <w:p>
      <w:pPr>
        <w:ind w:left="-630" w:leftChars="-300" w:firstLine="1440" w:firstLineChars="450"/>
        <w:rPr>
          <w:rFonts w:hint="eastAsia" w:ascii="仿宋" w:hAnsi="仿宋" w:eastAsia="仿宋" w:cs="仿宋"/>
          <w:sz w:val="32"/>
          <w:szCs w:val="32"/>
          <w:highlight w:val="none"/>
          <w:lang w:val="en-US"/>
        </w:rPr>
      </w:pPr>
      <w:r>
        <w:rPr>
          <w:rFonts w:hint="default" w:ascii="仿宋" w:hAnsi="仿宋" w:eastAsia="仿宋" w:cs="仿宋"/>
          <w:sz w:val="32"/>
          <w:szCs w:val="32"/>
          <w:highlight w:val="none"/>
          <w:lang w:val="en-US"/>
        </w:rPr>
        <w:t xml:space="preserve"> </w:t>
      </w: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lang w:val="en-US" w:eastAsia="zh-CN"/>
        </w:rPr>
        <w:t>13668045379</w:t>
      </w:r>
    </w:p>
    <w:p>
      <w:pPr>
        <w:ind w:left="970" w:leftChars="-300" w:hanging="1600" w:hangingChars="5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2、</w:t>
      </w:r>
      <w:r>
        <w:rPr>
          <w:rFonts w:hint="eastAsia" w:ascii="仿宋" w:hAnsi="仿宋" w:eastAsia="仿宋" w:cs="仿宋"/>
          <w:sz w:val="32"/>
          <w:szCs w:val="32"/>
          <w:highlight w:val="none"/>
        </w:rPr>
        <w:t>报价文件获取办法：请参与报价的单位或授权人在我公司网站（www.cqdjjx.com)上获取报价文件或持授权委托书于 2020 年7月1日前到重庆大江杰信锻造有限公司采购部领取报价文件及相关资料。</w:t>
      </w:r>
    </w:p>
    <w:p>
      <w:pPr>
        <w:ind w:left="960" w:hanging="960" w:hanging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3、</w:t>
      </w:r>
      <w:r>
        <w:rPr>
          <w:rFonts w:hint="eastAsia" w:ascii="仿宋" w:hAnsi="仿宋" w:eastAsia="仿宋" w:cs="仿宋"/>
          <w:sz w:val="32"/>
          <w:szCs w:val="32"/>
          <w:highlight w:val="none"/>
        </w:rPr>
        <w:t>报价为含税价（含13%税）；报价包括包装费、装卸费、拆卸费和运输费等；报价方须按我公司</w:t>
      </w:r>
      <w:r>
        <w:rPr>
          <w:rFonts w:hint="eastAsia" w:ascii="仿宋" w:hAnsi="仿宋" w:eastAsia="仿宋" w:cs="仿宋"/>
          <w:sz w:val="32"/>
          <w:szCs w:val="32"/>
          <w:highlight w:val="none"/>
          <w:lang w:eastAsia="zh-CN"/>
        </w:rPr>
        <w:t>的要求</w:t>
      </w:r>
      <w:r>
        <w:rPr>
          <w:rFonts w:hint="eastAsia" w:ascii="仿宋" w:hAnsi="仿宋" w:eastAsia="仿宋" w:cs="仿宋"/>
          <w:sz w:val="32"/>
          <w:szCs w:val="32"/>
          <w:highlight w:val="none"/>
        </w:rPr>
        <w:t>正确填报，需备注事宜可填入表内“备注”栏，检查确认后，加盖公章。</w:t>
      </w:r>
    </w:p>
    <w:p>
      <w:pP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4、</w:t>
      </w:r>
      <w:r>
        <w:rPr>
          <w:rFonts w:hint="eastAsia" w:ascii="仿宋" w:hAnsi="仿宋" w:eastAsia="仿宋" w:cs="仿宋"/>
          <w:sz w:val="32"/>
          <w:szCs w:val="32"/>
          <w:highlight w:val="none"/>
        </w:rPr>
        <w:t>报价文件保密性要求</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报价方须做好填报环境等客观条件的保密性防护。</w:t>
      </w:r>
    </w:p>
    <w:p>
      <w:pPr>
        <w:widowControl w:val="0"/>
        <w:wordWrap/>
        <w:adjustRightInd/>
        <w:snapToGrid/>
        <w:spacing w:before="0" w:after="0" w:line="240" w:lineRule="auto"/>
        <w:ind w:left="1120" w:leftChars="0" w:right="0" w:hanging="1120" w:hangingChars="35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报价方须将报价表单独密封，密封后在密封处加盖公章，</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并在信封上注明“报价表，请于比价定源时启封”字样。</w:t>
      </w:r>
    </w:p>
    <w:p>
      <w:pPr>
        <w:widowControl w:val="0"/>
        <w:wordWrap/>
        <w:adjustRightInd/>
        <w:snapToGrid/>
        <w:spacing w:before="0" w:after="0" w:line="240" w:lineRule="auto"/>
        <w:ind w:left="1120" w:leftChars="0" w:right="0" w:hanging="1120" w:hangingChars="35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（3）报价方应将所需报交文件一并装入信封内，密封后在密封处加盖公章，并在信封上注明：报价项目名称、报价方信息（单位名称、地址、联系人及联系方式等）。</w:t>
      </w:r>
    </w:p>
    <w:p>
      <w:pPr>
        <w:widowControl w:val="0"/>
        <w:wordWrap/>
        <w:adjustRightInd/>
        <w:snapToGrid/>
        <w:spacing w:before="0" w:after="0" w:line="240" w:lineRule="auto"/>
        <w:ind w:left="1120" w:leftChars="0" w:right="0" w:hanging="1120" w:hangingChars="35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（4）报价方应选择正规快递公司投递或投交到我公司内可监控区域的专用双锁报价箱中。</w:t>
      </w:r>
    </w:p>
    <w:p>
      <w:pPr>
        <w:ind w:left="960" w:hanging="960" w:hanging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5、</w:t>
      </w:r>
      <w:r>
        <w:rPr>
          <w:rFonts w:hint="eastAsia" w:ascii="仿宋" w:hAnsi="仿宋" w:eastAsia="仿宋" w:cs="仿宋"/>
          <w:sz w:val="32"/>
          <w:szCs w:val="32"/>
          <w:highlight w:val="none"/>
        </w:rPr>
        <w:t>报价文件有效性要求</w:t>
      </w:r>
    </w:p>
    <w:p>
      <w:pPr>
        <w:widowControl w:val="0"/>
        <w:wordWrap/>
        <w:adjustRightInd/>
        <w:snapToGrid/>
        <w:spacing w:before="0" w:after="0" w:line="240" w:lineRule="auto"/>
        <w:ind w:left="800" w:leftChars="0" w:right="0" w:hanging="800" w:hangingChars="25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（1）报价方应在报交截止时间内将报价文件投交至我公司指定接收处，逾期无效、错投无效。</w:t>
      </w:r>
    </w:p>
    <w:p>
      <w:pPr>
        <w:ind w:left="960" w:hanging="960" w:hangingChars="3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报价文件报交截止时间：</w:t>
      </w:r>
      <w:r>
        <w:rPr>
          <w:rFonts w:hint="eastAsia" w:ascii="仿宋" w:hAnsi="仿宋" w:eastAsia="仿宋" w:cs="仿宋"/>
          <w:sz w:val="32"/>
          <w:szCs w:val="32"/>
          <w:highlight w:val="none"/>
          <w:u w:val="single"/>
        </w:rPr>
        <w:t xml:space="preserve"> 2020</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7  </w:t>
      </w:r>
      <w:r>
        <w:rPr>
          <w:rFonts w:hint="eastAsia" w:ascii="仿宋" w:hAnsi="仿宋" w:eastAsia="仿宋" w:cs="仿宋"/>
          <w:sz w:val="32"/>
          <w:szCs w:val="32"/>
          <w:highlight w:val="none"/>
        </w:rPr>
        <w:t xml:space="preserve">月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7</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pPr>
        <w:ind w:left="-630" w:leftChars="-300" w:firstLine="1440" w:firstLineChars="450"/>
        <w:rPr>
          <w:rFonts w:hint="eastAsia" w:ascii="仿宋" w:hAnsi="仿宋" w:eastAsia="仿宋" w:cs="仿宋"/>
          <w:sz w:val="32"/>
          <w:szCs w:val="32"/>
          <w:highlight w:val="none"/>
        </w:rPr>
      </w:pPr>
      <w:r>
        <w:rPr>
          <w:rFonts w:hint="eastAsia" w:ascii="仿宋" w:hAnsi="仿宋" w:eastAsia="仿宋" w:cs="仿宋"/>
          <w:sz w:val="32"/>
          <w:szCs w:val="32"/>
          <w:highlight w:val="none"/>
        </w:rPr>
        <w:t>报价文件指定接收处：</w:t>
      </w:r>
    </w:p>
    <w:p>
      <w:pPr>
        <w:spacing w:line="580" w:lineRule="exact"/>
        <w:ind w:left="2560" w:hanging="2560" w:hangingChars="800"/>
        <w:rPr>
          <w:rFonts w:hint="eastAsia" w:ascii="仿宋" w:hAnsi="仿宋" w:eastAsia="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sym w:font="Wingdings" w:char="F081"/>
      </w:r>
      <w:r>
        <w:rPr>
          <w:rFonts w:hint="eastAsia" w:ascii="仿宋" w:hAnsi="仿宋" w:eastAsia="仿宋"/>
          <w:sz w:val="32"/>
          <w:szCs w:val="32"/>
          <w:highlight w:val="none"/>
        </w:rPr>
        <w:t>邮寄地址：重庆市巴南区鱼洞大江西路自编804号</w:t>
      </w:r>
    </w:p>
    <w:p>
      <w:pPr>
        <w:spacing w:line="580" w:lineRule="exact"/>
        <w:ind w:left="2560" w:hanging="2560" w:hangingChars="800"/>
        <w:rPr>
          <w:rFonts w:hint="eastAsia" w:ascii="仿宋" w:hAnsi="仿宋" w:eastAsia="仿宋"/>
          <w:sz w:val="32"/>
          <w:szCs w:val="32"/>
          <w:highlight w:val="none"/>
        </w:rPr>
      </w:pPr>
      <w:r>
        <w:rPr>
          <w:rFonts w:hint="eastAsia" w:ascii="仿宋" w:hAnsi="仿宋" w:eastAsia="仿宋"/>
          <w:sz w:val="32"/>
          <w:szCs w:val="32"/>
          <w:highlight w:val="none"/>
        </w:rPr>
        <w:t xml:space="preserve">                 重庆大江杰信锻造有限公司</w:t>
      </w:r>
      <w:r>
        <w:rPr>
          <w:rFonts w:hint="eastAsia" w:ascii="仿宋" w:hAnsi="仿宋" w:eastAsia="仿宋"/>
          <w:sz w:val="32"/>
          <w:szCs w:val="32"/>
          <w:highlight w:val="none"/>
          <w:lang w:eastAsia="zh-CN"/>
        </w:rPr>
        <w:t>设备</w:t>
      </w:r>
      <w:r>
        <w:rPr>
          <w:rFonts w:hint="eastAsia" w:ascii="仿宋" w:hAnsi="仿宋" w:eastAsia="仿宋"/>
          <w:sz w:val="32"/>
          <w:szCs w:val="32"/>
          <w:highlight w:val="none"/>
        </w:rPr>
        <w:t>部。</w:t>
      </w:r>
    </w:p>
    <w:p>
      <w:pPr>
        <w:ind w:left="800" w:hanging="800" w:hangingChars="250"/>
        <w:outlineLvl w:val="0"/>
        <w:rPr>
          <w:rFonts w:ascii="仿宋" w:hAnsi="仿宋" w:eastAsia="仿宋" w:cs="仿宋"/>
          <w:sz w:val="32"/>
          <w:szCs w:val="32"/>
          <w:highlight w:val="none"/>
          <w:shd w:val="clear" w:color="auto" w:fill="FFFFFF"/>
        </w:rPr>
      </w:pP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收件人：</w:t>
      </w:r>
      <w:r>
        <w:rPr>
          <w:rFonts w:hint="eastAsia" w:ascii="仿宋" w:hAnsi="仿宋" w:eastAsia="仿宋"/>
          <w:sz w:val="32"/>
          <w:szCs w:val="32"/>
          <w:highlight w:val="none"/>
          <w:u w:val="single"/>
        </w:rPr>
        <w:t xml:space="preserve">王先生 </w:t>
      </w:r>
    </w:p>
    <w:p>
      <w:pPr>
        <w:ind w:left="800" w:hanging="800" w:hangingChars="250"/>
        <w:outlineLvl w:val="0"/>
        <w:rPr>
          <w:rFonts w:ascii="仿宋" w:hAnsi="仿宋" w:eastAsia="仿宋" w:cs="仿宋"/>
          <w:sz w:val="32"/>
          <w:szCs w:val="32"/>
          <w:highlight w:val="none"/>
          <w:shd w:val="clear" w:color="auto" w:fill="FFFFFF"/>
        </w:rPr>
      </w:pP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联系电话</w:t>
      </w:r>
      <w:r>
        <w:rPr>
          <w:rFonts w:hint="eastAsia" w:ascii="仿宋" w:hAnsi="仿宋" w:eastAsia="仿宋"/>
          <w:sz w:val="32"/>
          <w:szCs w:val="32"/>
          <w:highlight w:val="none"/>
          <w:u w:val="single"/>
          <w:lang w:eastAsia="zh-CN"/>
        </w:rPr>
        <w:t>：</w:t>
      </w:r>
      <w:r>
        <w:rPr>
          <w:rFonts w:hint="eastAsia" w:ascii="仿宋" w:hAnsi="仿宋" w:eastAsia="仿宋"/>
          <w:sz w:val="32"/>
          <w:szCs w:val="32"/>
          <w:highlight w:val="none"/>
          <w:u w:val="single"/>
        </w:rPr>
        <w:t xml:space="preserve">13668045379 </w:t>
      </w:r>
    </w:p>
    <w:p>
      <w:pPr>
        <w:spacing w:line="58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邮政编码：</w:t>
      </w:r>
      <w:r>
        <w:rPr>
          <w:rFonts w:hint="eastAsia" w:ascii="仿宋" w:hAnsi="仿宋" w:eastAsia="仿宋"/>
          <w:sz w:val="32"/>
          <w:szCs w:val="32"/>
          <w:highlight w:val="none"/>
          <w:u w:val="single"/>
        </w:rPr>
        <w:t>401321</w:t>
      </w:r>
    </w:p>
    <w:p>
      <w:pPr>
        <w:ind w:left="1440" w:hanging="1440" w:hangingChars="45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sym w:font="Wingdings" w:char="F082"/>
      </w:r>
      <w:r>
        <w:rPr>
          <w:rFonts w:hint="eastAsia" w:ascii="仿宋" w:hAnsi="仿宋" w:eastAsia="仿宋" w:cs="仿宋"/>
          <w:sz w:val="32"/>
          <w:szCs w:val="32"/>
          <w:highlight w:val="none"/>
        </w:rPr>
        <w:t>重庆大江杰信锻造有限公司比价定源报价箱。</w:t>
      </w:r>
    </w:p>
    <w:p>
      <w:pPr>
        <w:widowControl w:val="0"/>
        <w:wordWrap/>
        <w:adjustRightInd/>
        <w:snapToGrid/>
        <w:spacing w:before="0" w:after="0" w:line="240" w:lineRule="auto"/>
        <w:ind w:left="960" w:leftChars="0" w:right="0" w:hanging="960" w:hangingChars="3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凡自愿参与本项目比价定源的单位的一切费用自理，报价时电汇3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widowControl w:val="0"/>
        <w:wordWrap/>
        <w:adjustRightInd/>
        <w:snapToGrid/>
        <w:spacing w:before="0" w:after="0" w:line="240" w:lineRule="auto"/>
        <w:ind w:left="960" w:leftChars="0" w:right="0" w:hanging="960" w:hangingChars="3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（3）报价方不得以他人名义参加或者相互串通、或者以其他方式弄虚作假，否则报价作废、没收保证金、取消当期参选资格并予以公示，构成犯罪的，依法移交相关司法机构追究法律责任。 </w:t>
      </w:r>
    </w:p>
    <w:p>
      <w:pPr>
        <w:widowControl w:val="0"/>
        <w:wordWrap/>
        <w:adjustRightInd/>
        <w:snapToGrid/>
        <w:spacing w:before="0" w:after="0" w:line="240" w:lineRule="auto"/>
        <w:ind w:left="960" w:leftChars="0" w:right="0" w:hanging="960" w:hangingChars="3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ind w:left="960" w:hanging="960" w:hangingChars="300"/>
        <w:outlineLvl w:val="0"/>
        <w:rPr>
          <w:rFonts w:hint="eastAsia" w:ascii="仿宋" w:hAnsi="仿宋" w:eastAsia="仿宋" w:cs="仿宋"/>
          <w:sz w:val="32"/>
          <w:szCs w:val="32"/>
          <w:highlight w:val="none"/>
          <w:shd w:val="clear" w:color="auto" w:fill="FFFFFF"/>
        </w:rPr>
      </w:pPr>
    </w:p>
    <w:p>
      <w:pPr>
        <w:ind w:left="960" w:hanging="960" w:hangingChars="300"/>
        <w:outlineLvl w:val="0"/>
        <w:rPr>
          <w:rFonts w:hint="eastAsia" w:ascii="仿宋" w:hAnsi="仿宋" w:eastAsia="仿宋" w:cs="仿宋"/>
          <w:sz w:val="32"/>
          <w:szCs w:val="32"/>
          <w:highlight w:val="none"/>
          <w:shd w:val="clear" w:color="auto" w:fill="FFFFFF"/>
        </w:rPr>
      </w:pPr>
    </w:p>
    <w:p>
      <w:pPr>
        <w:rPr>
          <w:rFonts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（三）设备安装调试：设备到场后待管线接通完毕后供货商现场指导安装调试。在设备管线接通完毕后3天内完成调试并交付我公司投产使用。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四</w:t>
      </w:r>
      <w:r>
        <w:rPr>
          <w:rFonts w:hint="eastAsia" w:ascii="仿宋" w:hAnsi="仿宋" w:eastAsia="仿宋" w:cs="仿宋"/>
          <w:b/>
          <w:bCs/>
          <w:sz w:val="32"/>
          <w:szCs w:val="32"/>
        </w:rPr>
        <w:t>、报价书作废条款：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五</w:t>
      </w:r>
      <w:r>
        <w:rPr>
          <w:rFonts w:hint="eastAsia" w:ascii="仿宋" w:hAnsi="仿宋" w:eastAsia="仿宋" w:cs="仿宋"/>
          <w:b/>
          <w:bCs/>
          <w:sz w:val="32"/>
          <w:szCs w:val="32"/>
        </w:rPr>
        <w:t>、评审原则：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将此评分与第二次竞分报价的《设备采购项目比价定源评分表》中前6项评分累加，得出的最高分所对应的报价为最优合作价，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仅将其第二次竞分报价信息中价格调整为最优合作价后签约；如第二顺序合作方放弃签约，则由第三顺序合作方将其第二次竞分报价信息中价格调整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六</w:t>
      </w:r>
      <w:r>
        <w:rPr>
          <w:rFonts w:hint="eastAsia" w:ascii="仿宋" w:hAnsi="仿宋" w:eastAsia="仿宋" w:cs="仿宋"/>
          <w:b/>
          <w:bCs/>
          <w:sz w:val="32"/>
          <w:szCs w:val="32"/>
        </w:rPr>
        <w:t>、其它说明：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rPr>
          <w:rFonts w:hint="eastAsia"/>
        </w:rPr>
      </w:pPr>
      <w:bookmarkStart w:id="14" w:name="current_time1"/>
      <w:bookmarkEnd w:id="14"/>
      <w:r>
        <w:rPr>
          <w:rFonts w:hint="eastAsia" w:ascii="仿宋" w:hAnsi="仿宋" w:eastAsia="仿宋"/>
          <w:sz w:val="32"/>
          <w:szCs w:val="32"/>
        </w:rPr>
        <w:t>2020年6月2</w:t>
      </w:r>
      <w:r>
        <w:rPr>
          <w:rFonts w:hint="eastAsia" w:ascii="仿宋" w:hAnsi="仿宋" w:eastAsia="仿宋"/>
          <w:sz w:val="32"/>
          <w:szCs w:val="32"/>
          <w:lang w:val="en-US" w:eastAsia="zh-CN"/>
        </w:rPr>
        <w:t>3</w:t>
      </w:r>
      <w:r>
        <w:rPr>
          <w:rFonts w:hint="eastAsia" w:ascii="仿宋" w:hAnsi="仿宋" w:eastAsia="仿宋"/>
          <w:sz w:val="32"/>
          <w:szCs w:val="32"/>
        </w:rPr>
        <w:t>日</w:t>
      </w:r>
      <w:r>
        <w:rPr>
          <w:rFonts w:hint="eastAsia"/>
        </w:rPr>
        <w:t xml:space="preserve">  </w:t>
      </w:r>
    </w:p>
    <w:p>
      <w:pPr>
        <w:pStyle w:val="3"/>
        <w:spacing w:line="240" w:lineRule="auto"/>
        <w:jc w:val="center"/>
        <w:rPr>
          <w:rFonts w:hint="eastAsia" w:ascii="宋体" w:hAnsi="宋体" w:eastAsia="宋体" w:cs="宋体"/>
          <w:b w:val="0"/>
          <w:sz w:val="44"/>
          <w:szCs w:val="44"/>
        </w:rPr>
      </w:pPr>
      <w:bookmarkStart w:id="15" w:name="_Toc344296677"/>
    </w:p>
    <w:p>
      <w:pPr>
        <w:rPr>
          <w:rFonts w:hint="eastAsia" w:ascii="宋体" w:hAnsi="宋体" w:eastAsia="宋体" w:cs="宋体"/>
          <w:b w:val="0"/>
          <w:sz w:val="44"/>
          <w:szCs w:val="44"/>
        </w:rPr>
      </w:pPr>
    </w:p>
    <w:p>
      <w:pPr>
        <w:rPr>
          <w:rFonts w:hint="eastAsia" w:ascii="宋体" w:hAnsi="宋体" w:eastAsia="宋体" w:cs="宋体"/>
          <w:b w:val="0"/>
          <w:sz w:val="44"/>
          <w:szCs w:val="44"/>
        </w:rPr>
      </w:pPr>
    </w:p>
    <w:p>
      <w:pPr>
        <w:pStyle w:val="3"/>
        <w:spacing w:line="240" w:lineRule="auto"/>
        <w:jc w:val="center"/>
        <w:rPr>
          <w:rFonts w:hint="eastAsia" w:ascii="宋体" w:hAnsi="宋体" w:eastAsia="宋体" w:cs="宋体"/>
          <w:b w:val="0"/>
          <w:sz w:val="44"/>
          <w:szCs w:val="44"/>
        </w:rPr>
      </w:pPr>
    </w:p>
    <w:p>
      <w:pPr>
        <w:pStyle w:val="3"/>
        <w:spacing w:line="240" w:lineRule="auto"/>
        <w:jc w:val="center"/>
        <w:rPr>
          <w:rFonts w:hint="eastAsia" w:ascii="宋体" w:hAnsi="宋体" w:eastAsia="宋体" w:cs="宋体"/>
          <w:b w:val="0"/>
          <w:sz w:val="44"/>
          <w:szCs w:val="44"/>
        </w:rPr>
      </w:pPr>
      <w:r>
        <w:rPr>
          <w:rFonts w:hint="eastAsia" w:ascii="宋体" w:hAnsi="宋体" w:eastAsia="宋体" w:cs="宋体"/>
          <w:b w:val="0"/>
          <w:sz w:val="44"/>
          <w:szCs w:val="44"/>
        </w:rPr>
        <w:t>6300T中频炉闭式冷却塔</w:t>
      </w:r>
      <w:bookmarkEnd w:id="15"/>
      <w:r>
        <w:rPr>
          <w:rFonts w:hint="eastAsia" w:ascii="宋体" w:hAnsi="宋体" w:eastAsia="宋体" w:cs="宋体"/>
          <w:b w:val="0"/>
          <w:sz w:val="44"/>
          <w:szCs w:val="44"/>
        </w:rPr>
        <w:t>技术文件</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1 设备用途</w:t>
      </w:r>
    </w:p>
    <w:p>
      <w:pPr>
        <w:widowControl/>
        <w:wordWrap/>
        <w:adjustRightInd/>
        <w:snapToGrid/>
        <w:spacing w:before="0" w:after="0" w:line="240" w:lineRule="auto"/>
        <w:ind w:right="0" w:firstLine="48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本文件所述的</w:t>
      </w:r>
      <w:r>
        <w:rPr>
          <w:rFonts w:hint="eastAsia" w:ascii="仿宋" w:hAnsi="仿宋" w:eastAsia="仿宋" w:cs="仿宋"/>
          <w:sz w:val="32"/>
          <w:szCs w:val="32"/>
        </w:rPr>
        <w:t>闭式冷却塔系统</w:t>
      </w:r>
      <w:r>
        <w:rPr>
          <w:rFonts w:hint="eastAsia" w:ascii="仿宋" w:hAnsi="仿宋" w:eastAsia="仿宋" w:cs="仿宋"/>
          <w:bCs/>
          <w:sz w:val="32"/>
          <w:szCs w:val="32"/>
        </w:rPr>
        <w:t>用于2000KW感应加热炉所使用的循环水。</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2一般要求</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2.1报价方保证提供的设备（包括所有的零部件、附件、元器件）为全新的、先进的、成熟的、完整的，具有合理的结构，高稳定性、安全可靠性、耐久性和抗振性，且设备的技术性能符合本规范的要求。</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2.2 报价方应提供所有安装和检修所需专用工具和消耗材料等，并提供详细供货清单。</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2.3 报价方提供随机备品备件，并在投标文件中列出具体清单。</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2.4 报价文件中列出易损易耗件的具体清单。</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2.5 设备零部件和仪表的计量单位应全部采用国际单位。</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2.6 报价方需详细列出同类设备在国内外企业的使用业绩。</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2.7 本技术文件所述</w:t>
      </w:r>
      <w:r>
        <w:rPr>
          <w:rFonts w:hint="eastAsia" w:ascii="仿宋" w:hAnsi="仿宋" w:eastAsia="仿宋" w:cs="仿宋"/>
          <w:sz w:val="32"/>
          <w:szCs w:val="32"/>
        </w:rPr>
        <w:t>循环水系统</w:t>
      </w:r>
      <w:r>
        <w:rPr>
          <w:rFonts w:hint="eastAsia" w:ascii="仿宋" w:hAnsi="仿宋" w:eastAsia="仿宋" w:cs="仿宋"/>
          <w:bCs/>
          <w:sz w:val="32"/>
          <w:szCs w:val="32"/>
        </w:rPr>
        <w:t>包括：</w:t>
      </w:r>
    </w:p>
    <w:p>
      <w:pPr>
        <w:wordWrap/>
        <w:adjustRightInd/>
        <w:snapToGrid/>
        <w:spacing w:before="0" w:after="0" w:line="240" w:lineRule="auto"/>
        <w:ind w:left="959" w:leftChars="114" w:right="0" w:hanging="720" w:hangingChars="3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电源和炉体对水温的要求不一样，一台闭式冷却塔分二个模块，一个给电源</w:t>
      </w:r>
    </w:p>
    <w:p>
      <w:pPr>
        <w:wordWrap/>
        <w:adjustRightInd/>
        <w:snapToGrid/>
        <w:spacing w:before="0" w:after="0" w:line="240" w:lineRule="auto"/>
        <w:ind w:left="239" w:leftChars="114"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一个给炉体，互相独立，互不影响，保证各部分的温度，延长设备的使用寿命，每一个部分使用一套辅机，共使用二个辅机，配备相应的电气控制箱。</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2.8地坑、设备基础等土建施工由定源方完成，但报价方必须提供详尽的技术资料。</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2.9电、气、水等动力源由定源方提供，报价方指定电、气、水等动力源的位置、用量及质量要求。</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2.10 本技术文件中所述设备使用环境：电压：380V±15% ，频率：50HZ ，三相交流。湿球温度29℃。该冷却塔在上述条件下能连续稳定工作。</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2.11 本技术文件中设备必须易于维护及检修。</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2.12本技术文件中所述设备系统及各种仪表均需附带合格证书及相关证件。</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3设备工艺要求</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3.1箱体外壳及支撑有足够强度，保证不会生锈腐化，所有螺栓均采用不锈钢螺栓，水箱及外壳材料要求采用304不锈钢。</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3.2风机：有良好的性能，能够不间断持续正常工作。风叶材质要求为铝合金，容易更换，维护。</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3.3电机：选用国内知名品牌。全封闭防水电机,IP55防护，F级绝缘</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3.4表冷器：经过预检和压力实验，冷却盘管采用304不锈钢管制作，并且保证维护时可分别抽出，控制水垢生成。</w:t>
      </w:r>
    </w:p>
    <w:p>
      <w:pPr>
        <w:wordWrap/>
        <w:adjustRightInd/>
        <w:snapToGrid/>
        <w:spacing w:before="0" w:after="0" w:line="240" w:lineRule="auto"/>
        <w:ind w:right="0" w:firstLine="48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3.5塔内空间：须保证塔内空间足够，便于设备的例行检修。</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3.6保证冷却塔使用寿命达到15年以上。</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3.7噪声指标符合规范要求。</w:t>
      </w:r>
    </w:p>
    <w:p>
      <w:pPr>
        <w:wordWrap/>
        <w:adjustRightInd/>
        <w:snapToGrid/>
        <w:spacing w:before="0" w:after="0" w:line="240" w:lineRule="auto"/>
        <w:ind w:right="0" w:firstLine="470" w:firstLineChars="196"/>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4基本技术型号参数</w:t>
      </w:r>
    </w:p>
    <w:tbl>
      <w:tblPr>
        <w:tblW w:w="939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032"/>
        <w:gridCol w:w="3924"/>
        <w:gridCol w:w="34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5956" w:type="dxa"/>
            <w:gridSpan w:val="2"/>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sz w:val="24"/>
                <w:szCs w:val="24"/>
              </w:rPr>
            </w:pPr>
            <w:r>
              <w:rPr>
                <w:rFonts w:hint="eastAsia" w:ascii="宋体" w:hAnsi="宋体"/>
                <w:sz w:val="24"/>
                <w:szCs w:val="24"/>
              </w:rPr>
              <w:t>冷却能力</w:t>
            </w:r>
            <w:r>
              <w:rPr>
                <w:rFonts w:hint="eastAsia" w:ascii="宋体" w:hAnsi="宋体" w:cs="宋体"/>
                <w:kern w:val="0"/>
                <w:sz w:val="24"/>
              </w:rPr>
              <w:t>（kcal/h）</w:t>
            </w:r>
          </w:p>
        </w:tc>
        <w:tc>
          <w:tcPr>
            <w:tcW w:w="3443" w:type="dxa"/>
            <w:tcBorders>
              <w:top w:val="single" w:color="000000" w:sz="8" w:space="0"/>
              <w:bottom w:val="single" w:color="000000" w:sz="8" w:space="0"/>
              <w:right w:val="single" w:color="000000" w:sz="8" w:space="0"/>
            </w:tcBorders>
            <w:vAlign w:val="top"/>
          </w:tcPr>
          <w:p>
            <w:pPr>
              <w:spacing w:line="420" w:lineRule="exact"/>
              <w:jc w:val="center"/>
              <w:rPr>
                <w:rFonts w:hint="eastAsia" w:ascii="宋体"/>
                <w:sz w:val="24"/>
                <w:szCs w:val="24"/>
              </w:rPr>
            </w:pPr>
            <w:r>
              <w:rPr>
                <w:rFonts w:hint="eastAsia" w:ascii="宋体"/>
                <w:sz w:val="24"/>
                <w:szCs w:val="24"/>
              </w:rPr>
              <w:t>1500000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restart"/>
            <w:tcBorders>
              <w:top w:val="single" w:color="000000" w:sz="8" w:space="0"/>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温度</w:t>
            </w: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进炉水温（℃）</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sz w:val="24"/>
                <w:szCs w:val="24"/>
              </w:rPr>
            </w:pPr>
            <w:r>
              <w:rPr>
                <w:rFonts w:hint="eastAsia" w:ascii="宋体"/>
                <w:sz w:val="24"/>
                <w:szCs w:val="24"/>
              </w:rPr>
              <w:t>32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left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Align w:val="top"/>
          </w:tcPr>
          <w:p>
            <w:pPr>
              <w:spacing w:line="420" w:lineRule="exact"/>
              <w:jc w:val="center"/>
              <w:rPr>
                <w:rFonts w:hint="eastAsia" w:ascii="宋体" w:hAnsi="宋体"/>
                <w:sz w:val="24"/>
                <w:szCs w:val="24"/>
              </w:rPr>
            </w:pPr>
            <w:r>
              <w:rPr>
                <w:rFonts w:hint="eastAsia" w:ascii="宋体" w:hAnsi="宋体"/>
                <w:sz w:val="24"/>
                <w:szCs w:val="24"/>
              </w:rPr>
              <w:t>出炉水温（℃）</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37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left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温差（℃）</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sz w:val="24"/>
                <w:szCs w:val="24"/>
              </w:rPr>
            </w:pPr>
            <w:r>
              <w:rPr>
                <w:rFonts w:hint="eastAsia" w:ascii="宋体" w:hAnsi="宋体"/>
                <w:sz w:val="24"/>
                <w:szCs w:val="24"/>
              </w:rPr>
              <w:t>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湿球温度（℃）</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29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trPr>
        <w:tc>
          <w:tcPr>
            <w:tcW w:w="2032" w:type="dxa"/>
            <w:vMerge w:val="restart"/>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管径</w:t>
            </w:r>
          </w:p>
        </w:tc>
        <w:tc>
          <w:tcPr>
            <w:tcW w:w="3924" w:type="dxa"/>
            <w:vMerge w:val="restart"/>
            <w:vAlign w:val="top"/>
          </w:tcPr>
          <w:p>
            <w:pPr>
              <w:spacing w:line="420" w:lineRule="exact"/>
              <w:jc w:val="center"/>
              <w:rPr>
                <w:rFonts w:hint="eastAsia" w:ascii="宋体" w:hAnsi="宋体"/>
                <w:sz w:val="24"/>
                <w:szCs w:val="24"/>
              </w:rPr>
            </w:pPr>
            <w:r>
              <w:rPr>
                <w:rFonts w:hint="eastAsia" w:ascii="宋体" w:hAnsi="宋体"/>
                <w:sz w:val="24"/>
                <w:szCs w:val="24"/>
              </w:rPr>
              <w:t>进/出水口（mm</w:t>
            </w:r>
            <w:r>
              <w:rPr>
                <w:rFonts w:ascii="宋体" w:hAnsi="宋体"/>
                <w:sz w:val="24"/>
                <w:szCs w:val="24"/>
              </w:rPr>
              <w:t>）</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电源DN125×1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2032" w:type="dxa"/>
            <w:vMerge w:val="continue"/>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Merge w:val="continue"/>
            <w:tcBorders>
              <w:top w:val="single" w:color="000000" w:sz="8" w:space="0"/>
              <w:bottom w:val="single" w:color="000000" w:sz="8" w:space="0"/>
            </w:tcBorders>
            <w:vAlign w:val="top"/>
          </w:tcPr>
          <w:p>
            <w:pPr>
              <w:spacing w:line="420" w:lineRule="exact"/>
              <w:jc w:val="center"/>
              <w:rPr>
                <w:rFonts w:hint="eastAsia" w:ascii="宋体" w:hAnsi="宋体"/>
                <w:sz w:val="24"/>
                <w:szCs w:val="24"/>
              </w:rPr>
            </w:pP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线圈DN125×1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left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Align w:val="top"/>
          </w:tcPr>
          <w:p>
            <w:pPr>
              <w:spacing w:line="420" w:lineRule="exact"/>
              <w:jc w:val="center"/>
              <w:rPr>
                <w:rFonts w:hint="eastAsia" w:ascii="宋体" w:hAnsi="宋体"/>
                <w:sz w:val="24"/>
                <w:szCs w:val="24"/>
              </w:rPr>
            </w:pPr>
            <w:r>
              <w:rPr>
                <w:rFonts w:hint="eastAsia" w:ascii="宋体" w:hAnsi="宋体"/>
                <w:sz w:val="24"/>
                <w:szCs w:val="24"/>
              </w:rPr>
              <w:t>补水口（mm</w:t>
            </w:r>
            <w:r>
              <w:rPr>
                <w:rFonts w:ascii="宋体" w:hAnsi="宋体"/>
                <w:sz w:val="24"/>
                <w:szCs w:val="24"/>
              </w:rPr>
              <w:t>）</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DN40×2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top w:val="single" w:color="000000" w:sz="8" w:space="0"/>
              <w:left w:val="single" w:color="000000" w:sz="8" w:space="0"/>
              <w:bottom w:val="single" w:color="000000" w:sz="8" w:space="0"/>
              <w:right w:val="single" w:color="000000" w:sz="8" w:space="0"/>
            </w:tcBorders>
            <w:vAlign w:val="top"/>
          </w:tcPr>
          <w:p>
            <w:pPr>
              <w:spacing w:line="420" w:lineRule="exact"/>
              <w:rPr>
                <w:rFonts w:hint="eastAsia" w:ascii="宋体" w:hAnsi="宋体"/>
                <w:sz w:val="24"/>
                <w:szCs w:val="24"/>
              </w:rPr>
            </w:pP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排污口（mm</w:t>
            </w:r>
            <w:r>
              <w:rPr>
                <w:rFonts w:ascii="宋体" w:hAnsi="宋体"/>
                <w:sz w:val="24"/>
                <w:szCs w:val="24"/>
              </w:rPr>
              <w:t>）</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DN65×1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restart"/>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喷</w:t>
            </w:r>
          </w:p>
          <w:p>
            <w:pPr>
              <w:spacing w:line="420" w:lineRule="exact"/>
              <w:jc w:val="center"/>
              <w:rPr>
                <w:rFonts w:hint="eastAsia" w:ascii="宋体" w:hAnsi="宋体"/>
                <w:sz w:val="24"/>
                <w:szCs w:val="24"/>
              </w:rPr>
            </w:pPr>
            <w:r>
              <w:rPr>
                <w:rFonts w:hint="eastAsia" w:ascii="宋体" w:hAnsi="宋体"/>
                <w:sz w:val="24"/>
                <w:szCs w:val="24"/>
              </w:rPr>
              <w:t>淋</w:t>
            </w:r>
          </w:p>
          <w:p>
            <w:pPr>
              <w:spacing w:line="420" w:lineRule="exact"/>
              <w:jc w:val="center"/>
              <w:rPr>
                <w:rFonts w:hint="eastAsia" w:ascii="宋体" w:hAnsi="宋体"/>
                <w:sz w:val="24"/>
                <w:szCs w:val="24"/>
              </w:rPr>
            </w:pPr>
            <w:r>
              <w:rPr>
                <w:rFonts w:hint="eastAsia" w:ascii="宋体" w:hAnsi="宋体"/>
                <w:sz w:val="24"/>
                <w:szCs w:val="24"/>
              </w:rPr>
              <w:t>泵</w:t>
            </w: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功率</w:t>
            </w:r>
            <w:r>
              <w:rPr>
                <w:rFonts w:ascii="宋体" w:hAnsi="宋体"/>
                <w:sz w:val="24"/>
                <w:szCs w:val="24"/>
              </w:rPr>
              <w:t>(</w:t>
            </w:r>
            <w:r>
              <w:rPr>
                <w:rFonts w:hint="eastAsia" w:ascii="宋体" w:hAnsi="宋体"/>
                <w:sz w:val="24"/>
                <w:szCs w:val="24"/>
              </w:rPr>
              <w:t>k</w:t>
            </w:r>
            <w:r>
              <w:rPr>
                <w:rFonts w:ascii="宋体" w:hAnsi="宋体"/>
                <w:sz w:val="24"/>
                <w:szCs w:val="24"/>
              </w:rPr>
              <w:t>w)</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7.5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vMerge w:val="continue"/>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数量（台）</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风机</w:t>
            </w: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数量（台）</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≥4台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2032"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水箱</w:t>
            </w:r>
          </w:p>
        </w:tc>
        <w:tc>
          <w:tcPr>
            <w:tcW w:w="3924" w:type="dxa"/>
            <w:tcBorders>
              <w:top w:val="single" w:color="000000" w:sz="8" w:space="0"/>
              <w:bottom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数量（个）</w:t>
            </w: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trPr>
        <w:tc>
          <w:tcPr>
            <w:tcW w:w="2032" w:type="dxa"/>
            <w:vMerge w:val="restart"/>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主</w:t>
            </w:r>
          </w:p>
          <w:p>
            <w:pPr>
              <w:spacing w:line="420" w:lineRule="exact"/>
              <w:jc w:val="center"/>
              <w:rPr>
                <w:rFonts w:hint="eastAsia" w:ascii="宋体" w:hAnsi="宋体"/>
                <w:sz w:val="24"/>
                <w:szCs w:val="24"/>
              </w:rPr>
            </w:pPr>
            <w:r>
              <w:rPr>
                <w:rFonts w:hint="eastAsia" w:ascii="宋体" w:hAnsi="宋体"/>
                <w:sz w:val="24"/>
                <w:szCs w:val="24"/>
              </w:rPr>
              <w:t>循</w:t>
            </w:r>
          </w:p>
          <w:p>
            <w:pPr>
              <w:spacing w:line="420" w:lineRule="exact"/>
              <w:jc w:val="center"/>
              <w:rPr>
                <w:rFonts w:hint="eastAsia" w:ascii="宋体" w:hAnsi="宋体"/>
                <w:sz w:val="24"/>
                <w:szCs w:val="24"/>
              </w:rPr>
            </w:pPr>
            <w:r>
              <w:rPr>
                <w:rFonts w:hint="eastAsia" w:ascii="宋体" w:hAnsi="宋体"/>
                <w:sz w:val="24"/>
                <w:szCs w:val="24"/>
              </w:rPr>
              <w:t>环</w:t>
            </w:r>
          </w:p>
          <w:p>
            <w:pPr>
              <w:spacing w:line="420" w:lineRule="exact"/>
              <w:jc w:val="center"/>
              <w:rPr>
                <w:rFonts w:hint="eastAsia" w:ascii="宋体" w:hAnsi="宋体"/>
                <w:sz w:val="24"/>
                <w:szCs w:val="24"/>
              </w:rPr>
            </w:pPr>
            <w:r>
              <w:rPr>
                <w:rFonts w:hint="eastAsia" w:ascii="宋体" w:hAnsi="宋体"/>
                <w:sz w:val="24"/>
                <w:szCs w:val="24"/>
              </w:rPr>
              <w:t>泵</w:t>
            </w:r>
          </w:p>
        </w:tc>
        <w:tc>
          <w:tcPr>
            <w:tcW w:w="3924" w:type="dxa"/>
            <w:vMerge w:val="restart"/>
            <w:vAlign w:val="top"/>
          </w:tcPr>
          <w:p>
            <w:pPr>
              <w:spacing w:line="420" w:lineRule="exact"/>
              <w:jc w:val="center"/>
              <w:rPr>
                <w:rFonts w:hint="eastAsia" w:ascii="宋体" w:hAnsi="宋体"/>
                <w:sz w:val="24"/>
                <w:szCs w:val="24"/>
              </w:rPr>
            </w:pPr>
            <w:r>
              <w:rPr>
                <w:rFonts w:hint="eastAsia" w:ascii="宋体" w:hAnsi="宋体"/>
                <w:sz w:val="24"/>
                <w:szCs w:val="24"/>
              </w:rPr>
              <w:t>功率</w:t>
            </w:r>
            <w:r>
              <w:rPr>
                <w:rFonts w:ascii="宋体" w:hAnsi="宋体"/>
                <w:sz w:val="24"/>
                <w:szCs w:val="24"/>
              </w:rPr>
              <w:t>(</w:t>
            </w:r>
            <w:r>
              <w:rPr>
                <w:rFonts w:hint="eastAsia" w:ascii="宋体" w:hAnsi="宋体"/>
                <w:sz w:val="24"/>
                <w:szCs w:val="24"/>
              </w:rPr>
              <w:t>k</w:t>
            </w:r>
            <w:r>
              <w:rPr>
                <w:rFonts w:ascii="宋体" w:hAnsi="宋体"/>
                <w:sz w:val="24"/>
                <w:szCs w:val="24"/>
              </w:rPr>
              <w:t>w)</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电源18.5×2（一用一备）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trPr>
        <w:tc>
          <w:tcPr>
            <w:tcW w:w="2032" w:type="dxa"/>
            <w:vMerge w:val="continue"/>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Merge w:val="continue"/>
            <w:tcBorders>
              <w:top w:val="single" w:color="000000" w:sz="8" w:space="0"/>
              <w:bottom w:val="single" w:color="000000" w:sz="8" w:space="0"/>
            </w:tcBorders>
            <w:vAlign w:val="top"/>
          </w:tcPr>
          <w:p>
            <w:pPr>
              <w:spacing w:line="420" w:lineRule="exact"/>
              <w:jc w:val="center"/>
              <w:rPr>
                <w:rFonts w:hint="eastAsia" w:ascii="宋体" w:hAnsi="宋体"/>
                <w:sz w:val="24"/>
                <w:szCs w:val="24"/>
              </w:rPr>
            </w:pP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线圈30×2（一用一备）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trPr>
        <w:tc>
          <w:tcPr>
            <w:tcW w:w="2032" w:type="dxa"/>
            <w:vMerge w:val="continue"/>
            <w:tcBorders>
              <w:left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Merge w:val="restart"/>
            <w:vAlign w:val="top"/>
          </w:tcPr>
          <w:p>
            <w:pPr>
              <w:spacing w:line="420" w:lineRule="exact"/>
              <w:jc w:val="center"/>
              <w:rPr>
                <w:rFonts w:hint="eastAsia" w:ascii="宋体" w:hAnsi="宋体"/>
                <w:sz w:val="24"/>
                <w:szCs w:val="24"/>
              </w:rPr>
            </w:pPr>
            <w:r>
              <w:rPr>
                <w:rFonts w:hint="eastAsia" w:ascii="宋体" w:hAnsi="宋体"/>
                <w:sz w:val="24"/>
                <w:szCs w:val="24"/>
              </w:rPr>
              <w:t>流量</w:t>
            </w:r>
            <w:r>
              <w:rPr>
                <w:rFonts w:ascii="宋体" w:hAnsi="宋体"/>
                <w:sz w:val="24"/>
                <w:szCs w:val="24"/>
              </w:rPr>
              <w:t>(m</w:t>
            </w:r>
            <w:r>
              <w:rPr>
                <w:rFonts w:ascii="宋体" w:hAnsi="宋体"/>
                <w:sz w:val="24"/>
                <w:szCs w:val="24"/>
                <w:vertAlign w:val="superscript"/>
              </w:rPr>
              <w:t>3</w:t>
            </w:r>
            <w:r>
              <w:rPr>
                <w:rFonts w:ascii="宋体" w:hAnsi="宋体"/>
                <w:sz w:val="24"/>
                <w:szCs w:val="24"/>
              </w:rPr>
              <w:t>/h</w:t>
            </w:r>
            <w:r>
              <w:rPr>
                <w:rFonts w:hint="eastAsia" w:ascii="宋体" w:hAnsi="宋体"/>
                <w:sz w:val="24"/>
                <w:szCs w:val="24"/>
              </w:rPr>
              <w:t>)</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电源100×2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86" w:hRule="atLeast"/>
        </w:trPr>
        <w:tc>
          <w:tcPr>
            <w:tcW w:w="2032" w:type="dxa"/>
            <w:vMerge w:val="continue"/>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Merge w:val="continue"/>
            <w:tcBorders>
              <w:top w:val="single" w:color="000000" w:sz="8" w:space="0"/>
              <w:bottom w:val="single" w:color="000000" w:sz="8" w:space="0"/>
            </w:tcBorders>
            <w:vAlign w:val="top"/>
          </w:tcPr>
          <w:p>
            <w:pPr>
              <w:spacing w:line="420" w:lineRule="exact"/>
              <w:jc w:val="center"/>
              <w:rPr>
                <w:rFonts w:hint="eastAsia" w:ascii="宋体" w:hAnsi="宋体"/>
                <w:sz w:val="24"/>
                <w:szCs w:val="24"/>
              </w:rPr>
            </w:pPr>
          </w:p>
        </w:tc>
        <w:tc>
          <w:tcPr>
            <w:tcW w:w="3443" w:type="dxa"/>
            <w:tcBorders>
              <w:top w:val="single" w:color="000000" w:sz="8" w:space="0"/>
              <w:left w:val="single" w:color="000000" w:sz="8" w:space="0"/>
              <w:bottom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线圈200×2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2032" w:type="dxa"/>
            <w:vMerge w:val="continue"/>
            <w:tcBorders>
              <w:left w:val="single" w:color="000000" w:sz="8" w:space="0"/>
              <w:right w:val="single" w:color="000000" w:sz="8" w:space="0"/>
            </w:tcBorders>
            <w:vAlign w:val="top"/>
          </w:tcPr>
          <w:p>
            <w:pPr>
              <w:spacing w:line="420" w:lineRule="exact"/>
              <w:jc w:val="center"/>
              <w:rPr>
                <w:rFonts w:hint="eastAsia" w:ascii="宋体" w:hAnsi="宋体"/>
                <w:sz w:val="24"/>
                <w:szCs w:val="24"/>
              </w:rPr>
            </w:pPr>
          </w:p>
        </w:tc>
        <w:tc>
          <w:tcPr>
            <w:tcW w:w="3924" w:type="dxa"/>
            <w:vAlign w:val="top"/>
          </w:tcPr>
          <w:p>
            <w:pPr>
              <w:spacing w:line="420" w:lineRule="exact"/>
              <w:jc w:val="center"/>
              <w:rPr>
                <w:rFonts w:hint="eastAsia" w:ascii="宋体" w:hAnsi="宋体"/>
                <w:sz w:val="24"/>
                <w:szCs w:val="24"/>
              </w:rPr>
            </w:pPr>
            <w:r>
              <w:rPr>
                <w:rFonts w:hint="eastAsia" w:ascii="宋体" w:hAnsi="宋体"/>
                <w:sz w:val="24"/>
                <w:szCs w:val="24"/>
              </w:rPr>
              <w:t>扬程（m）</w:t>
            </w:r>
          </w:p>
        </w:tc>
        <w:tc>
          <w:tcPr>
            <w:tcW w:w="3443" w:type="dxa"/>
            <w:tcBorders>
              <w:left w:val="single" w:color="000000" w:sz="8" w:space="0"/>
              <w:right w:val="single" w:color="000000" w:sz="8" w:space="0"/>
            </w:tcBorders>
            <w:vAlign w:val="top"/>
          </w:tcPr>
          <w:p>
            <w:pPr>
              <w:spacing w:line="420" w:lineRule="exact"/>
              <w:jc w:val="center"/>
              <w:rPr>
                <w:rFonts w:hint="eastAsia" w:ascii="宋体" w:hAnsi="宋体"/>
                <w:sz w:val="24"/>
                <w:szCs w:val="24"/>
              </w:rPr>
            </w:pPr>
            <w:r>
              <w:rPr>
                <w:rFonts w:hint="eastAsia" w:ascii="宋体" w:hAnsi="宋体"/>
                <w:sz w:val="24"/>
                <w:szCs w:val="24"/>
              </w:rPr>
              <w:t>电源      40</w:t>
            </w:r>
          </w:p>
          <w:p>
            <w:pPr>
              <w:spacing w:line="420" w:lineRule="exact"/>
              <w:ind w:firstLine="840" w:firstLineChars="350"/>
              <w:rPr>
                <w:rFonts w:hint="eastAsia" w:ascii="宋体" w:hAnsi="宋体"/>
                <w:sz w:val="24"/>
                <w:szCs w:val="24"/>
              </w:rPr>
            </w:pPr>
            <w:r>
              <w:rPr>
                <w:rFonts w:hint="eastAsia" w:ascii="宋体" w:hAnsi="宋体"/>
                <w:sz w:val="24"/>
                <w:szCs w:val="24"/>
              </w:rPr>
              <w:t xml:space="preserve">线圈       32    </w:t>
            </w:r>
          </w:p>
        </w:tc>
      </w:tr>
    </w:tbl>
    <w:p>
      <w:pPr>
        <w:spacing w:line="360" w:lineRule="auto"/>
        <w:rPr>
          <w:rFonts w:hint="eastAsia" w:ascii="仿宋_GB2312" w:hAnsi="宋体" w:eastAsia="仿宋_GB2312"/>
          <w:bCs/>
          <w:sz w:val="24"/>
          <w:szCs w:val="24"/>
        </w:rPr>
      </w:pP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5技术文件：</w:t>
      </w:r>
    </w:p>
    <w:p>
      <w:pPr>
        <w:widowControl w:val="0"/>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5.1提供安装所需的部件装配原理图和管路图</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5.2安装基础图</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5.3合格证明书、装箱单、压力容器合格证书和检测报告。</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5.4电气原理图、电器柜布置图、接线图、电气元件的现场位置图、接线图和电气操作说明书。</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6  安装调试</w:t>
      </w:r>
    </w:p>
    <w:p>
      <w:pPr>
        <w:widowControl w:val="0"/>
        <w:tabs>
          <w:tab w:val="left" w:pos="540"/>
          <w:tab w:val="left" w:pos="108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6.1 报价方负责设备的指导安装与调试工作，并对安装与调试的正确性负责。</w:t>
      </w:r>
    </w:p>
    <w:p>
      <w:pPr>
        <w:widowControl w:val="0"/>
        <w:tabs>
          <w:tab w:val="left" w:pos="540"/>
          <w:tab w:val="left" w:pos="108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6.2  定源方负责设备外的电、风、液、水系统、钢构施工及所有设备基础及其它土建施工。</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7 培训</w:t>
      </w:r>
    </w:p>
    <w:p>
      <w:pPr>
        <w:widowControl w:val="0"/>
        <w:tabs>
          <w:tab w:val="left" w:pos="540"/>
          <w:tab w:val="left" w:pos="108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报价方负责对定源方工艺、设备及维护、操作人员进行操作、维修、等方面的免费培训。提供免费教材。在定源方现场设备安装调试过程中及投产初期，报价方对定源方维修操作人员继续进行操作技术培训，直至操作者能够独立完成</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8设备验收</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8.1 设备验收在定源方现场进行，当设备安装调试完成后方可进行验收。</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8.2 如果双方在设备验收上产生争议，由报价方提供必要的检具、进行相应的检测、承担发生的费用。</w:t>
      </w:r>
    </w:p>
    <w:p>
      <w:pPr>
        <w:widowControl w:val="0"/>
        <w:tabs>
          <w:tab w:val="left" w:pos="540"/>
        </w:tabs>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8.3 验收主要内容包括：</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设备在定源方安装调试完成后、报价方应准备相关配套条件，定源方组织有关部门进行设备的终验收。按照双方签订的验收协议，相关行业和国家标准进行设备的终验收，验收合格后填写《设备安装移交验收单》，双方代表签署终验收报告。</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终验收内容包括：</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（1）双方共同确认产品已达到《产品验收技术条件》的所有技术要求和质量要求；</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（2）清查设备所有备品备件及随机工具；</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（3）清查设备提供的随机文件。</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（4）设备运行时的无漏油、漏水、漏气；</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（5）设备运行平稳，无超标振动与异常声音；</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（6）自动控制灵敏、性能可靠；</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（7）安全保护控制灵敏、准确。设备整体质量、外观质量、功能检查、设备运转情况。</w:t>
      </w:r>
    </w:p>
    <w:p>
      <w:pPr>
        <w:widowControl w:val="0"/>
        <w:wordWrap/>
        <w:adjustRightInd/>
        <w:snapToGrid/>
        <w:spacing w:before="0" w:after="0" w:line="240" w:lineRule="auto"/>
        <w:ind w:left="0" w:leftChars="0" w:right="0" w:firstLine="470" w:firstLineChars="196"/>
        <w:jc w:val="both"/>
        <w:textAlignment w:val="auto"/>
        <w:outlineLvl w:val="9"/>
        <w:rPr>
          <w:rFonts w:ascii="仿宋_GB2312" w:hAnsi="宋体" w:eastAsia="仿宋_GB2312"/>
          <w:bCs/>
          <w:sz w:val="32"/>
          <w:szCs w:val="32"/>
        </w:rPr>
      </w:pPr>
      <w:r>
        <w:rPr>
          <w:rFonts w:hint="eastAsia" w:ascii="仿宋_GB2312" w:hAnsi="宋体" w:eastAsia="仿宋_GB2312"/>
          <w:bCs/>
          <w:sz w:val="32"/>
          <w:szCs w:val="32"/>
        </w:rPr>
        <w:t>（8）满负荷连续生产15个工作日。</w:t>
      </w:r>
    </w:p>
    <w:p>
      <w:pPr>
        <w:widowControl w:val="0"/>
        <w:wordWrap/>
        <w:adjustRightInd/>
        <w:snapToGrid/>
        <w:spacing w:before="0" w:after="0" w:line="240" w:lineRule="auto"/>
        <w:ind w:left="0" w:leftChars="0" w:right="0" w:firstLine="48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bCs/>
          <w:sz w:val="32"/>
          <w:szCs w:val="32"/>
        </w:rPr>
        <w:t>9 质量保证及维修</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9.1  报价方必须保证在设备制造过程中，严格执行国家相关标准，检查和控制原材料、元器件、配套件的质量。对各主要加工零部件的精度、规格、性能等进行全面检查、全程控制，若零件质量达不到国家相关标准要求，应无条件更换。</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9.2  设备整机质保期为设备验收合格后12个月。报价方应在收到用户故障信息后24小时内做出反应，能48小时内到现场进行故障处理，故障不排除，人员不撤离。</w:t>
      </w:r>
    </w:p>
    <w:p>
      <w:pPr>
        <w:widowControl w:val="0"/>
        <w:wordWrap/>
        <w:adjustRightInd/>
        <w:snapToGrid/>
        <w:spacing w:before="0" w:after="0" w:line="240" w:lineRule="auto"/>
        <w:ind w:left="0" w:leftChars="0" w:right="0" w:firstLine="470" w:firstLineChars="196"/>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9.3  在设备验收后运行的质保期内，报价方对由于设备设计、制造工艺或材料的缺陷而造成的直接和间接损失负责，并承担由此而发生的费用。质保期内如果出现重大质量问题而影响设备使用时，整机质保期从问题解决之日起重新计算；如有零部件损坏，报价方应免费予以更换，并重新计算更换零部件的质保期。</w:t>
      </w:r>
    </w:p>
    <w:p>
      <w:pPr>
        <w:widowControl w:val="0"/>
        <w:wordWrap/>
        <w:adjustRightInd/>
        <w:snapToGrid/>
        <w:spacing w:before="0" w:after="0" w:line="240" w:lineRule="auto"/>
        <w:ind w:left="0" w:leftChars="0" w:right="0" w:firstLine="470" w:firstLineChars="196"/>
        <w:jc w:val="both"/>
        <w:textAlignment w:val="auto"/>
        <w:outlineLvl w:val="9"/>
        <w:rPr>
          <w:rFonts w:ascii="仿宋_GB2312" w:hAnsi="宋体" w:eastAsia="仿宋_GB2312"/>
          <w:bCs/>
          <w:sz w:val="32"/>
          <w:szCs w:val="32"/>
        </w:rPr>
      </w:pPr>
      <w:r>
        <w:rPr>
          <w:rFonts w:hint="eastAsia" w:ascii="仿宋_GB2312" w:hAnsi="宋体" w:eastAsia="仿宋_GB2312"/>
          <w:bCs/>
          <w:sz w:val="32"/>
          <w:szCs w:val="32"/>
        </w:rPr>
        <w:t>9.4  保修期满后，报价方应能提供终身广泛、优惠的技术服务，并及时提供所需的备品配件。</w:t>
      </w:r>
    </w:p>
    <w:p>
      <w:pPr>
        <w:widowControl w:val="0"/>
        <w:wordWrap/>
        <w:adjustRightInd/>
        <w:snapToGrid/>
        <w:spacing w:before="0" w:after="0" w:line="240" w:lineRule="auto"/>
        <w:ind w:left="0" w:leftChars="0" w:right="0"/>
        <w:jc w:val="both"/>
        <w:textAlignment w:val="auto"/>
        <w:outlineLvl w:val="9"/>
        <w:rPr>
          <w:rFonts w:hint="eastAsia"/>
          <w:sz w:val="32"/>
          <w:szCs w:val="32"/>
        </w:rPr>
      </w:pPr>
    </w:p>
    <w:p>
      <w:pPr>
        <w:rPr>
          <w:rFonts w:hint="eastAsia"/>
        </w:rPr>
      </w:pPr>
    </w:p>
    <w:p>
      <w:pPr>
        <w:pStyle w:val="8"/>
        <w:wordWrap w:val="0"/>
        <w:ind w:left="0" w:leftChars="0" w:right="560" w:firstLine="0" w:firstLineChars="0"/>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大江杰信锻造有限公司：</w:t>
      </w:r>
    </w:p>
    <w:p>
      <w:pPr>
        <w:pStyle w:val="7"/>
        <w:ind w:firstLine="560" w:firstLineChars="200"/>
        <w:rPr>
          <w:rFonts w:cs="Times New Roman"/>
          <w:sz w:val="28"/>
          <w:szCs w:val="28"/>
        </w:rPr>
      </w:pPr>
      <w:r>
        <w:rPr>
          <w:rFonts w:hint="eastAsia"/>
          <w:sz w:val="28"/>
          <w:szCs w:val="28"/>
        </w:rPr>
        <w:t>我单位全面研究了大江杰信锻造有限公司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04</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16" w:name="Zws"/>
      <w:bookmarkEnd w:id="16"/>
      <w:r>
        <w:rPr>
          <w:sz w:val="28"/>
          <w:szCs w:val="28"/>
        </w:rPr>
        <w:t>1</w:t>
      </w:r>
      <w:r>
        <w:rPr>
          <w:rFonts w:hint="eastAsia"/>
          <w:sz w:val="28"/>
          <w:szCs w:val="28"/>
        </w:rPr>
        <w:t>份，副本</w:t>
      </w:r>
      <w:bookmarkStart w:id="17" w:name="fws"/>
      <w:bookmarkEnd w:id="17"/>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18" w:name="id4"/>
      <w:bookmarkEnd w:id="18"/>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15</Pages>
  <Words>813</Words>
  <Characters>4636</Characters>
  <Lines>38</Lines>
  <Paragraphs>10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2020-06-23T06:22:00Z</cp:lastPrinted>
  <dcterms:modified xsi:type="dcterms:W3CDTF">2020-06-23T06:24:10Z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